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83"/>
        <w:gridCol w:w="5166"/>
        <w:gridCol w:w="2440"/>
      </w:tblGrid>
      <w:tr w:rsidR="00B20A5E" w:rsidRPr="00A04711" w:rsidTr="004D3534">
        <w:trPr>
          <w:trHeight w:val="242"/>
        </w:trPr>
        <w:tc>
          <w:tcPr>
            <w:tcW w:w="1572" w:type="dxa"/>
            <w:tcBorders>
              <w:top w:val="single" w:sz="4" w:space="0" w:color="000000"/>
              <w:left w:val="single" w:sz="4" w:space="0" w:color="000000"/>
              <w:bottom w:val="single" w:sz="4" w:space="0" w:color="000000"/>
              <w:right w:val="nil"/>
            </w:tcBorders>
            <w:hideMark/>
          </w:tcPr>
          <w:p w:rsidR="00B20A5E" w:rsidRPr="00A04711" w:rsidRDefault="00B20A5E" w:rsidP="004D3534">
            <w:pPr>
              <w:tabs>
                <w:tab w:val="left" w:pos="1407"/>
              </w:tabs>
              <w:spacing w:after="100" w:afterAutospacing="1" w:line="240" w:lineRule="auto"/>
              <w:rPr>
                <w:rFonts w:ascii="Times New Roman" w:eastAsia="Calibri" w:hAnsi="Times New Roman" w:cs="Times New Roman"/>
                <w:sz w:val="24"/>
                <w:szCs w:val="24"/>
              </w:rPr>
            </w:pPr>
            <w:r w:rsidRPr="00A04711">
              <w:rPr>
                <w:rFonts w:ascii="Calibri" w:eastAsia="Calibri" w:hAnsi="Calibri" w:cs="Times New Roman"/>
              </w:rPr>
              <w:br w:type="page"/>
            </w:r>
            <w:r w:rsidRPr="00A04711">
              <w:rPr>
                <w:rFonts w:ascii="Times New Roman" w:eastAsia="Calibri" w:hAnsi="Times New Roman" w:cs="Times New Roman"/>
                <w:sz w:val="24"/>
                <w:szCs w:val="24"/>
              </w:rPr>
              <w:t xml:space="preserve">Harian    </w:t>
            </w:r>
          </w:p>
        </w:tc>
        <w:tc>
          <w:tcPr>
            <w:tcW w:w="283" w:type="dxa"/>
            <w:tcBorders>
              <w:top w:val="single" w:sz="4" w:space="0" w:color="000000"/>
              <w:left w:val="nil"/>
              <w:bottom w:val="single" w:sz="4" w:space="0" w:color="000000"/>
              <w:right w:val="nil"/>
            </w:tcBorders>
            <w:vAlign w:val="center"/>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20A5E" w:rsidRPr="00A04711" w:rsidRDefault="00654100" w:rsidP="004D3534">
            <w:pPr>
              <w:tabs>
                <w:tab w:val="left" w:pos="1851"/>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Media Palu</w:t>
            </w:r>
          </w:p>
        </w:tc>
        <w:tc>
          <w:tcPr>
            <w:tcW w:w="2440" w:type="dxa"/>
            <w:vMerge w:val="restart"/>
            <w:tcBorders>
              <w:top w:val="single" w:sz="4" w:space="0" w:color="000000"/>
              <w:left w:val="nil"/>
              <w:right w:val="single" w:sz="4" w:space="0" w:color="000000"/>
            </w:tcBorders>
            <w:vAlign w:val="center"/>
          </w:tcPr>
          <w:p w:rsidR="00B20A5E" w:rsidRPr="00A04711" w:rsidRDefault="00B20A5E" w:rsidP="004D3534">
            <w:pPr>
              <w:tabs>
                <w:tab w:val="left" w:pos="1851"/>
              </w:tabs>
              <w:spacing w:after="100" w:afterAutospacing="1" w:line="240" w:lineRule="auto"/>
              <w:jc w:val="center"/>
              <w:rPr>
                <w:rFonts w:ascii="Times New Roman" w:eastAsia="Calibri" w:hAnsi="Times New Roman" w:cs="Times New Roman"/>
                <w:sz w:val="24"/>
                <w:szCs w:val="24"/>
              </w:rPr>
            </w:pPr>
            <w:r w:rsidRPr="00A04711">
              <w:rPr>
                <w:rFonts w:ascii="Times New Roman" w:eastAsia="Calibri" w:hAnsi="Times New Roman" w:cs="Times New Roman"/>
                <w:sz w:val="24"/>
                <w:szCs w:val="24"/>
              </w:rPr>
              <w:t>Kasubaud</w:t>
            </w:r>
          </w:p>
          <w:p w:rsidR="00B20A5E" w:rsidRPr="00A04711" w:rsidRDefault="00B20A5E" w:rsidP="004D3534">
            <w:pPr>
              <w:tabs>
                <w:tab w:val="left" w:pos="1851"/>
              </w:tabs>
              <w:spacing w:after="100" w:afterAutospacing="1" w:line="240" w:lineRule="auto"/>
              <w:jc w:val="center"/>
              <w:rPr>
                <w:rFonts w:ascii="Times New Roman" w:eastAsia="Calibri" w:hAnsi="Times New Roman" w:cs="Times New Roman"/>
                <w:sz w:val="24"/>
                <w:szCs w:val="24"/>
                <w:lang w:val="id-ID"/>
              </w:rPr>
            </w:pPr>
            <w:r w:rsidRPr="00A04711">
              <w:rPr>
                <w:rFonts w:ascii="Times New Roman" w:eastAsia="Calibri" w:hAnsi="Times New Roman" w:cs="Times New Roman"/>
                <w:sz w:val="24"/>
                <w:szCs w:val="24"/>
              </w:rPr>
              <w:t>Sulteng I</w:t>
            </w:r>
          </w:p>
        </w:tc>
      </w:tr>
      <w:tr w:rsidR="00B20A5E" w:rsidRPr="00A04711" w:rsidTr="004D3534">
        <w:trPr>
          <w:trHeight w:val="242"/>
        </w:trPr>
        <w:tc>
          <w:tcPr>
            <w:tcW w:w="1572" w:type="dxa"/>
            <w:tcBorders>
              <w:top w:val="single" w:sz="4" w:space="0" w:color="000000"/>
              <w:left w:val="single" w:sz="4" w:space="0" w:color="000000"/>
              <w:bottom w:val="single" w:sz="4" w:space="0" w:color="000000"/>
              <w:right w:val="nil"/>
            </w:tcBorders>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Hari, tanggal</w:t>
            </w:r>
          </w:p>
        </w:tc>
        <w:tc>
          <w:tcPr>
            <w:tcW w:w="283" w:type="dxa"/>
            <w:tcBorders>
              <w:top w:val="single" w:sz="4" w:space="0" w:color="000000"/>
              <w:left w:val="nil"/>
              <w:bottom w:val="single" w:sz="4" w:space="0" w:color="000000"/>
              <w:right w:val="nil"/>
            </w:tcBorders>
            <w:vAlign w:val="center"/>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lang w:val="id-ID"/>
              </w:rPr>
            </w:pPr>
            <w:r w:rsidRPr="00A04711">
              <w:rPr>
                <w:rFonts w:ascii="Times New Roman" w:eastAsia="Calibri" w:hAnsi="Times New Roman" w:cs="Times New Roman"/>
                <w:sz w:val="24"/>
                <w:szCs w:val="24"/>
              </w:rPr>
              <w:t>Sabtu, 1 November 201</w:t>
            </w:r>
            <w:r w:rsidRPr="00A04711">
              <w:rPr>
                <w:rFonts w:ascii="Times New Roman" w:eastAsia="Calibri" w:hAnsi="Times New Roman" w:cs="Times New Roman"/>
                <w:sz w:val="24"/>
                <w:szCs w:val="24"/>
                <w:lang w:val="id-ID"/>
              </w:rPr>
              <w:t>4</w:t>
            </w:r>
          </w:p>
        </w:tc>
        <w:tc>
          <w:tcPr>
            <w:tcW w:w="2440" w:type="dxa"/>
            <w:vMerge/>
            <w:tcBorders>
              <w:left w:val="nil"/>
              <w:right w:val="single" w:sz="4" w:space="0" w:color="000000"/>
            </w:tcBorders>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p>
        </w:tc>
      </w:tr>
      <w:tr w:rsidR="00B20A5E" w:rsidRPr="00A04711" w:rsidTr="004D3534">
        <w:trPr>
          <w:trHeight w:val="245"/>
        </w:trPr>
        <w:tc>
          <w:tcPr>
            <w:tcW w:w="1572" w:type="dxa"/>
            <w:tcBorders>
              <w:top w:val="single" w:sz="4" w:space="0" w:color="000000"/>
              <w:left w:val="single" w:sz="4" w:space="0" w:color="000000"/>
              <w:bottom w:val="single" w:sz="4" w:space="0" w:color="000000"/>
              <w:right w:val="nil"/>
            </w:tcBorders>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Keterangan</w:t>
            </w:r>
          </w:p>
        </w:tc>
        <w:tc>
          <w:tcPr>
            <w:tcW w:w="283" w:type="dxa"/>
            <w:tcBorders>
              <w:top w:val="single" w:sz="4" w:space="0" w:color="000000"/>
              <w:left w:val="nil"/>
              <w:bottom w:val="single" w:sz="4" w:space="0" w:color="000000"/>
              <w:right w:val="nil"/>
            </w:tcBorders>
            <w:vAlign w:val="center"/>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p>
        </w:tc>
        <w:tc>
          <w:tcPr>
            <w:tcW w:w="2440" w:type="dxa"/>
            <w:vMerge/>
            <w:tcBorders>
              <w:left w:val="nil"/>
              <w:right w:val="single" w:sz="4" w:space="0" w:color="000000"/>
            </w:tcBorders>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p>
        </w:tc>
      </w:tr>
      <w:tr w:rsidR="00B20A5E" w:rsidRPr="00A04711" w:rsidTr="004D3534">
        <w:trPr>
          <w:trHeight w:val="271"/>
        </w:trPr>
        <w:tc>
          <w:tcPr>
            <w:tcW w:w="1572" w:type="dxa"/>
            <w:tcBorders>
              <w:top w:val="single" w:sz="4" w:space="0" w:color="000000"/>
              <w:left w:val="single" w:sz="4" w:space="0" w:color="000000"/>
              <w:bottom w:val="single" w:sz="4" w:space="0" w:color="000000"/>
              <w:right w:val="nil"/>
            </w:tcBorders>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Entitas</w:t>
            </w:r>
          </w:p>
        </w:tc>
        <w:tc>
          <w:tcPr>
            <w:tcW w:w="283" w:type="dxa"/>
            <w:tcBorders>
              <w:top w:val="single" w:sz="4" w:space="0" w:color="000000"/>
              <w:left w:val="nil"/>
              <w:bottom w:val="single" w:sz="4" w:space="0" w:color="000000"/>
              <w:right w:val="nil"/>
            </w:tcBorders>
            <w:vAlign w:val="center"/>
            <w:hideMark/>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r w:rsidRPr="00A04711">
              <w:rPr>
                <w:rFonts w:ascii="Times New Roman" w:eastAsia="Calibri" w:hAnsi="Times New Roman" w:cs="Times New Roman"/>
                <w:sz w:val="24"/>
                <w:szCs w:val="24"/>
              </w:rPr>
              <w:t>:</w:t>
            </w:r>
          </w:p>
        </w:tc>
        <w:tc>
          <w:tcPr>
            <w:tcW w:w="5166" w:type="dxa"/>
            <w:tcBorders>
              <w:top w:val="single" w:sz="4" w:space="0" w:color="000000"/>
              <w:left w:val="nil"/>
              <w:bottom w:val="single" w:sz="4" w:space="0" w:color="000000"/>
              <w:right w:val="single" w:sz="4" w:space="0" w:color="000000"/>
            </w:tcBorders>
            <w:hideMark/>
          </w:tcPr>
          <w:p w:rsidR="00B20A5E" w:rsidRPr="00A04711" w:rsidRDefault="00654100" w:rsidP="004D3534">
            <w:pPr>
              <w:tabs>
                <w:tab w:val="center" w:pos="4680"/>
                <w:tab w:val="right" w:pos="9360"/>
              </w:tabs>
              <w:spacing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Buol</w:t>
            </w:r>
          </w:p>
        </w:tc>
        <w:tc>
          <w:tcPr>
            <w:tcW w:w="2440" w:type="dxa"/>
            <w:vMerge/>
            <w:tcBorders>
              <w:left w:val="nil"/>
              <w:bottom w:val="single" w:sz="4" w:space="0" w:color="000000"/>
              <w:right w:val="single" w:sz="4" w:space="0" w:color="000000"/>
            </w:tcBorders>
          </w:tcPr>
          <w:p w:rsidR="00B20A5E" w:rsidRPr="00A04711" w:rsidRDefault="00B20A5E" w:rsidP="004D3534">
            <w:pPr>
              <w:tabs>
                <w:tab w:val="center" w:pos="4680"/>
                <w:tab w:val="right" w:pos="9360"/>
              </w:tabs>
              <w:spacing w:after="100" w:afterAutospacing="1" w:line="240" w:lineRule="auto"/>
              <w:rPr>
                <w:rFonts w:ascii="Times New Roman" w:eastAsia="Calibri" w:hAnsi="Times New Roman" w:cs="Times New Roman"/>
                <w:sz w:val="24"/>
                <w:szCs w:val="24"/>
              </w:rPr>
            </w:pPr>
          </w:p>
        </w:tc>
      </w:tr>
    </w:tbl>
    <w:p w:rsidR="0019757D" w:rsidRDefault="0019757D"/>
    <w:p w:rsidR="00B20A5E" w:rsidRPr="00B20A5E" w:rsidRDefault="00B20A5E" w:rsidP="006B34A1">
      <w:pPr>
        <w:shd w:val="clear" w:color="auto" w:fill="FFFFFF"/>
        <w:spacing w:after="75" w:line="336" w:lineRule="atLeast"/>
        <w:jc w:val="both"/>
        <w:textAlignment w:val="baseline"/>
        <w:outlineLvl w:val="0"/>
        <w:rPr>
          <w:rFonts w:ascii="Georgia" w:eastAsia="Times New Roman" w:hAnsi="Georgia" w:cs="Times New Roman"/>
          <w:color w:val="333333"/>
          <w:kern w:val="36"/>
          <w:sz w:val="48"/>
          <w:szCs w:val="48"/>
        </w:rPr>
      </w:pPr>
      <w:bookmarkStart w:id="0" w:name="_GoBack"/>
      <w:r w:rsidRPr="00B20A5E">
        <w:rPr>
          <w:rFonts w:ascii="Georgia" w:eastAsia="Times New Roman" w:hAnsi="Georgia" w:cs="Times New Roman"/>
          <w:color w:val="333333"/>
          <w:kern w:val="36"/>
          <w:sz w:val="48"/>
          <w:szCs w:val="48"/>
        </w:rPr>
        <w:t>Kontraktor Jalan Di Buol Terancam Blacklist</w:t>
      </w:r>
    </w:p>
    <w:bookmarkEnd w:id="0"/>
    <w:p w:rsidR="00B20A5E" w:rsidRPr="00B20A5E" w:rsidRDefault="00B20A5E" w:rsidP="00654100">
      <w:pPr>
        <w:shd w:val="clear" w:color="auto" w:fill="FFFFFF"/>
        <w:spacing w:after="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b/>
          <w:bCs/>
          <w:color w:val="555555"/>
          <w:sz w:val="18"/>
          <w:szCs w:val="18"/>
          <w:bdr w:val="none" w:sz="0" w:space="0" w:color="auto" w:frame="1"/>
        </w:rPr>
        <w:t>Sejumlah kontraktor yang mengerjakan proyek jalan bernilai miliaran rupiah di Kabupaten Buol, terancam sanksi Blacklist. Pasalnya, hingga masa kontrak akan berakhir, volume pekerjaan belum nampak.</w:t>
      </w:r>
      <w:r w:rsidRPr="00B20A5E">
        <w:rPr>
          <w:rFonts w:ascii="Arial" w:eastAsia="Times New Roman" w:hAnsi="Arial" w:cs="Arial"/>
          <w:b/>
          <w:bCs/>
          <w:color w:val="555555"/>
          <w:sz w:val="18"/>
          <w:szCs w:val="18"/>
          <w:bdr w:val="none" w:sz="0" w:space="0" w:color="auto" w:frame="1"/>
        </w:rPr>
        <w:br/>
      </w:r>
      <w:r w:rsidRPr="00B20A5E">
        <w:rPr>
          <w:rFonts w:ascii="Arial" w:eastAsia="Times New Roman" w:hAnsi="Arial" w:cs="Arial"/>
          <w:color w:val="555555"/>
          <w:sz w:val="18"/>
          <w:szCs w:val="18"/>
        </w:rPr>
        <w:br/>
        <w:t>Kabid Bina Marga PU, Amrin Tarakuku, mengatakan prosentase beberapa pekerjaan jalan belum memperlihatkan peningkatan volume. Sementara waktu yang diberikan sudah hampir habis masa kontraknya.</w:t>
      </w:r>
    </w:p>
    <w:p w:rsidR="00B20A5E" w:rsidRPr="00B20A5E" w:rsidRDefault="00B20A5E" w:rsidP="00654100">
      <w:pPr>
        <w:shd w:val="clear" w:color="auto" w:fill="FFFFFF"/>
        <w:spacing w:after="15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color w:val="555555"/>
          <w:sz w:val="18"/>
          <w:szCs w:val="18"/>
        </w:rPr>
        <w:t>“ Seperti pada ruas jalan Desa Modo I dan Modo III, prosentase volume pekerjaannya diperkirakan baru mencapai 0,94 persen,” kata Amrin.</w:t>
      </w:r>
    </w:p>
    <w:p w:rsidR="00B20A5E" w:rsidRPr="00B20A5E" w:rsidRDefault="00B20A5E" w:rsidP="00654100">
      <w:pPr>
        <w:shd w:val="clear" w:color="auto" w:fill="FFFFFF"/>
        <w:spacing w:after="15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color w:val="555555"/>
          <w:sz w:val="18"/>
          <w:szCs w:val="18"/>
        </w:rPr>
        <w:t>Amrin mengakui, terdapat juga beberapa proyek jalan di tempat lain yang volumenya belum tampak sesuai time schedule yang tertera pada kontrak. Diantaranya kata dia, pekerjaan dalam wilayah Kec. Momunu, volumenya baru 0,5 persen dan pekerjaan dalam kota Buol yang bersumber dari dana DAK dan DAU baru mencapai 7,53 persen. Sementara batas waktunya tertera pada kontrak 8 Desember tahun 2014.</w:t>
      </w:r>
    </w:p>
    <w:p w:rsidR="00B20A5E" w:rsidRPr="00B20A5E" w:rsidRDefault="00B20A5E" w:rsidP="00654100">
      <w:pPr>
        <w:shd w:val="clear" w:color="auto" w:fill="FFFFFF"/>
        <w:spacing w:after="15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color w:val="555555"/>
          <w:sz w:val="18"/>
          <w:szCs w:val="18"/>
        </w:rPr>
        <w:t>“ Kami sudah memberikan surat teguran kepada kontraktor yang bersangkutan yakni, CV Donggala Sentra Sulawesi dan CV Purnakarsa pada Septermber lalu,” imbuhnya.</w:t>
      </w:r>
    </w:p>
    <w:p w:rsidR="00B20A5E" w:rsidRPr="00B20A5E" w:rsidRDefault="00B20A5E" w:rsidP="00654100">
      <w:pPr>
        <w:shd w:val="clear" w:color="auto" w:fill="FFFFFF"/>
        <w:spacing w:after="15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color w:val="555555"/>
          <w:sz w:val="18"/>
          <w:szCs w:val="18"/>
        </w:rPr>
        <w:t>Amrin menegaskan, pihaknya akan memutuskan kontrak proyek tersebut jika sampai dengan pertengahan bulan Oktober pekerjaan tidak mengalami peningkatan volume sesuai jadwal.</w:t>
      </w:r>
    </w:p>
    <w:p w:rsidR="00B20A5E" w:rsidRPr="00B20A5E" w:rsidRDefault="00B20A5E" w:rsidP="00654100">
      <w:pPr>
        <w:shd w:val="clear" w:color="auto" w:fill="FFFFFF"/>
        <w:spacing w:after="15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color w:val="555555"/>
          <w:sz w:val="18"/>
          <w:szCs w:val="18"/>
        </w:rPr>
        <w:t>“ Sesuai perintah Bupati kepada kami selaku dinas, agar melakukan evaluasi pada bulan Oktober ini, jika tidak ada perkembangan, maka kami diminta untuk melakukan pemutusan kontrak, sekaligus blacklist,” tegas Amrin, saat ditemui di kantornya.</w:t>
      </w:r>
    </w:p>
    <w:p w:rsidR="00B20A5E" w:rsidRPr="00B20A5E" w:rsidRDefault="00B20A5E" w:rsidP="00654100">
      <w:pPr>
        <w:shd w:val="clear" w:color="auto" w:fill="FFFFFF"/>
        <w:spacing w:after="0" w:line="384" w:lineRule="atLeast"/>
        <w:jc w:val="both"/>
        <w:textAlignment w:val="baseline"/>
        <w:rPr>
          <w:rFonts w:ascii="Arial" w:eastAsia="Times New Roman" w:hAnsi="Arial" w:cs="Arial"/>
          <w:color w:val="555555"/>
          <w:sz w:val="18"/>
          <w:szCs w:val="18"/>
        </w:rPr>
      </w:pPr>
      <w:r w:rsidRPr="00B20A5E">
        <w:rPr>
          <w:rFonts w:ascii="Arial" w:eastAsia="Times New Roman" w:hAnsi="Arial" w:cs="Arial"/>
          <w:color w:val="555555"/>
          <w:sz w:val="18"/>
          <w:szCs w:val="18"/>
        </w:rPr>
        <w:t>Dari hasil pantauan serta informasi yang berhasil dihimpun Mediapalu.com, keterlambatan tersebut, dikarenakan kontraktor yang dimenangkan tidak memiliki fasilitas kerja. Hanya mengharapkan pinjam – meminjam alat kepada kontraktor lainnya.</w:t>
      </w:r>
      <w:r w:rsidRPr="00B20A5E">
        <w:rPr>
          <w:rFonts w:ascii="Arial" w:eastAsia="Times New Roman" w:hAnsi="Arial" w:cs="Arial"/>
          <w:b/>
          <w:bCs/>
          <w:color w:val="555555"/>
          <w:sz w:val="18"/>
          <w:szCs w:val="18"/>
          <w:bdr w:val="none" w:sz="0" w:space="0" w:color="auto" w:frame="1"/>
        </w:rPr>
        <w:t>MEDIAPALU.COM</w:t>
      </w:r>
    </w:p>
    <w:p w:rsidR="00B20A5E" w:rsidRDefault="00B20A5E"/>
    <w:sectPr w:rsidR="00B2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B7836"/>
    <w:multiLevelType w:val="multilevel"/>
    <w:tmpl w:val="E31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5E"/>
    <w:rsid w:val="0019757D"/>
    <w:rsid w:val="00654100"/>
    <w:rsid w:val="006B34A1"/>
    <w:rsid w:val="00B2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E2600-CDF5-450D-87D1-CA09C4E1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LIBRARY-PC</dc:creator>
  <cp:keywords/>
  <dc:description/>
  <cp:lastModifiedBy>LIBRARY-PC</cp:lastModifiedBy>
  <cp:revision>2</cp:revision>
  <dcterms:created xsi:type="dcterms:W3CDTF">2014-11-11T01:38:00Z</dcterms:created>
  <dcterms:modified xsi:type="dcterms:W3CDTF">2014-11-11T08:39:00Z</dcterms:modified>
</cp:coreProperties>
</file>