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AF" w:rsidRPr="00B10D55" w:rsidRDefault="00EB58AF" w:rsidP="00EB58AF">
      <w:pPr>
        <w:spacing w:before="45" w:after="45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id-ID" w:eastAsia="en-AU"/>
        </w:rPr>
      </w:pPr>
      <w:bookmarkStart w:id="0" w:name="_GoBack"/>
      <w:bookmarkEnd w:id="0"/>
      <w:r w:rsidRPr="00B10D55">
        <w:rPr>
          <w:rFonts w:ascii="Times New Roman" w:eastAsia="Times New Roman" w:hAnsi="Times New Roman"/>
          <w:b/>
          <w:bCs/>
          <w:sz w:val="24"/>
          <w:szCs w:val="24"/>
          <w:lang w:val="en-AU" w:eastAsia="en-AU"/>
        </w:rPr>
        <w:t xml:space="preserve">TUKAR GULING DERMAGA BERDASARKAN </w:t>
      </w:r>
    </w:p>
    <w:p w:rsidR="00EB58AF" w:rsidRPr="00B10D55" w:rsidRDefault="00EB58AF" w:rsidP="00EB58AF">
      <w:pPr>
        <w:spacing w:before="45" w:after="45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AU" w:eastAsia="en-AU"/>
        </w:rPr>
      </w:pPr>
      <w:r w:rsidRPr="00B10D55">
        <w:rPr>
          <w:rFonts w:ascii="Times New Roman" w:eastAsia="Times New Roman" w:hAnsi="Times New Roman"/>
          <w:b/>
          <w:bCs/>
          <w:sz w:val="24"/>
          <w:szCs w:val="24"/>
          <w:lang w:val="en-AU" w:eastAsia="en-AU"/>
        </w:rPr>
        <w:t>S</w:t>
      </w:r>
      <w:r w:rsidRPr="00B10D55">
        <w:rPr>
          <w:rFonts w:ascii="Times New Roman" w:eastAsia="Times New Roman" w:hAnsi="Times New Roman"/>
          <w:b/>
          <w:bCs/>
          <w:sz w:val="24"/>
          <w:szCs w:val="24"/>
          <w:lang w:val="id-ID" w:eastAsia="en-AU"/>
        </w:rPr>
        <w:t>URAT KEPUTUSAN</w:t>
      </w:r>
      <w:r w:rsidRPr="00B10D55">
        <w:rPr>
          <w:rFonts w:ascii="Times New Roman" w:eastAsia="Times New Roman" w:hAnsi="Times New Roman"/>
          <w:b/>
          <w:bCs/>
          <w:sz w:val="24"/>
          <w:szCs w:val="24"/>
          <w:lang w:val="en-AU" w:eastAsia="en-AU"/>
        </w:rPr>
        <w:t xml:space="preserve"> BUPATI</w:t>
      </w:r>
    </w:p>
    <w:p w:rsidR="00EB58AF" w:rsidRPr="00B10D55" w:rsidRDefault="00EB58AF" w:rsidP="00EB58AF">
      <w:pPr>
        <w:spacing w:before="45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id-ID" w:eastAsia="en-AU"/>
        </w:rPr>
      </w:pPr>
    </w:p>
    <w:p w:rsidR="00EB58AF" w:rsidRPr="00B10D55" w:rsidRDefault="00EB58AF" w:rsidP="00EB58AF">
      <w:pPr>
        <w:spacing w:before="45" w:after="4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id-ID" w:eastAsia="en-AU"/>
        </w:rPr>
      </w:pPr>
      <w:r w:rsidRPr="00B10D55">
        <w:rPr>
          <w:rFonts w:ascii="Times New Roman" w:eastAsia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4C404EB3" wp14:editId="5A1808A2">
            <wp:extent cx="2869565" cy="1586865"/>
            <wp:effectExtent l="0" t="0" r="6985" b="0"/>
            <wp:docPr id="2" name="Picture 2" descr="C:\Users\Hp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AF" w:rsidRPr="00B10D55" w:rsidRDefault="00EB58AF" w:rsidP="00EB58AF">
      <w:pPr>
        <w:spacing w:before="45" w:after="45" w:line="240" w:lineRule="auto"/>
        <w:jc w:val="center"/>
        <w:outlineLvl w:val="2"/>
        <w:rPr>
          <w:rFonts w:ascii="Times New Roman" w:eastAsia="Times New Roman" w:hAnsi="Times New Roman"/>
          <w:bCs/>
          <w:i/>
          <w:sz w:val="24"/>
          <w:szCs w:val="24"/>
          <w:lang w:val="id-ID" w:eastAsia="en-AU"/>
        </w:rPr>
      </w:pPr>
      <w:r w:rsidRPr="00B10D55">
        <w:rPr>
          <w:rFonts w:ascii="Times New Roman" w:eastAsia="Times New Roman" w:hAnsi="Times New Roman"/>
          <w:bCs/>
          <w:i/>
          <w:sz w:val="24"/>
          <w:szCs w:val="24"/>
          <w:lang w:val="id-ID" w:eastAsia="en-AU"/>
        </w:rPr>
        <w:t>mediaalkhairaat.com</w:t>
      </w:r>
    </w:p>
    <w:p w:rsidR="00EB58AF" w:rsidRPr="00B10D55" w:rsidRDefault="00EB58AF" w:rsidP="00EB58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en-AU"/>
        </w:rPr>
      </w:pPr>
    </w:p>
    <w:p w:rsidR="007E56B5" w:rsidRPr="00B10D55" w:rsidRDefault="007E56B5" w:rsidP="00EB58AF">
      <w:pPr>
        <w:spacing w:after="12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 w:eastAsia="en-AU"/>
        </w:rPr>
      </w:pPr>
    </w:p>
    <w:p w:rsidR="007E56B5" w:rsidRPr="00B10D55" w:rsidRDefault="007E56B5" w:rsidP="00EB58A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B10D55">
        <w:rPr>
          <w:rFonts w:ascii="Times New Roman" w:hAnsi="Times New Roman"/>
          <w:sz w:val="24"/>
          <w:szCs w:val="24"/>
        </w:rPr>
        <w:t>Kepolisian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Daerah </w:t>
      </w:r>
      <w:r w:rsidRPr="00B10D55">
        <w:rPr>
          <w:rFonts w:ascii="Times New Roman" w:hAnsi="Times New Roman"/>
          <w:sz w:val="24"/>
          <w:szCs w:val="24"/>
          <w:lang w:val="id-ID"/>
        </w:rPr>
        <w:t xml:space="preserve">(Polda) </w:t>
      </w:r>
      <w:r w:rsidRPr="00B10D55">
        <w:rPr>
          <w:rFonts w:ascii="Times New Roman" w:hAnsi="Times New Roman"/>
          <w:sz w:val="24"/>
          <w:szCs w:val="24"/>
        </w:rPr>
        <w:t>Sulawesi Tengah</w:t>
      </w:r>
      <w:r w:rsidRPr="00B10D55">
        <w:rPr>
          <w:rFonts w:ascii="Times New Roman" w:hAnsi="Times New Roman"/>
          <w:sz w:val="24"/>
          <w:szCs w:val="24"/>
          <w:lang w:val="id-ID"/>
        </w:rPr>
        <w:t xml:space="preserve"> (Sulteng)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akhirnya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memeriksa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Bupati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  <w:lang w:val="id-ID"/>
        </w:rPr>
        <w:t>,</w:t>
      </w:r>
      <w:r w:rsidRPr="00B10D55">
        <w:rPr>
          <w:rFonts w:ascii="Times New Roman" w:hAnsi="Times New Roman"/>
          <w:sz w:val="24"/>
          <w:szCs w:val="24"/>
        </w:rPr>
        <w:t xml:space="preserve"> Piet </w:t>
      </w:r>
      <w:proofErr w:type="spellStart"/>
      <w:r w:rsidRPr="00B10D55">
        <w:rPr>
          <w:rFonts w:ascii="Times New Roman" w:hAnsi="Times New Roman"/>
          <w:sz w:val="24"/>
          <w:szCs w:val="24"/>
        </w:rPr>
        <w:t>Inkiriwang</w:t>
      </w:r>
      <w:proofErr w:type="spellEnd"/>
      <w:r w:rsidRPr="00B10D55">
        <w:rPr>
          <w:rFonts w:ascii="Times New Roman" w:hAnsi="Times New Roman"/>
          <w:sz w:val="24"/>
          <w:szCs w:val="24"/>
          <w:lang w:val="id-ID"/>
        </w:rPr>
        <w:t>,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terkait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dengan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dugaan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tindak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pidana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korupsi</w:t>
      </w:r>
      <w:proofErr w:type="spellEnd"/>
      <w:r w:rsidR="004071FD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tukar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guling</w:t>
      </w:r>
      <w:proofErr w:type="spellEnd"/>
      <w:r w:rsidR="004071FD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aset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Pemerintah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Kabupaten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</w:rPr>
        <w:t>.</w:t>
      </w:r>
      <w:proofErr w:type="gramEnd"/>
      <w:r w:rsidRPr="00B10D5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B10D55">
        <w:rPr>
          <w:rFonts w:ascii="Times New Roman" w:hAnsi="Times New Roman"/>
          <w:sz w:val="24"/>
          <w:szCs w:val="24"/>
        </w:rPr>
        <w:t>Kasus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ini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mengenai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tukar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guling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aset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Pemerintah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Kabupaten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berupa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dermaga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lama di </w:t>
      </w:r>
      <w:proofErr w:type="spellStart"/>
      <w:r w:rsidRPr="00B10D55">
        <w:rPr>
          <w:rFonts w:ascii="Times New Roman" w:hAnsi="Times New Roman"/>
          <w:sz w:val="24"/>
          <w:szCs w:val="24"/>
        </w:rPr>
        <w:t>Jalan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Yos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Sudarso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D55">
        <w:rPr>
          <w:rFonts w:ascii="Times New Roman" w:hAnsi="Times New Roman"/>
          <w:sz w:val="24"/>
          <w:szCs w:val="24"/>
        </w:rPr>
        <w:t>Tentena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D55">
        <w:rPr>
          <w:rFonts w:ascii="Times New Roman" w:hAnsi="Times New Roman"/>
          <w:sz w:val="24"/>
          <w:szCs w:val="24"/>
        </w:rPr>
        <w:t>dengan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tanah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milik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Yafet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Satigi</w:t>
      </w:r>
      <w:proofErr w:type="spellEnd"/>
      <w:r w:rsidRPr="00B10D55">
        <w:rPr>
          <w:rFonts w:ascii="Times New Roman" w:hAnsi="Times New Roman"/>
          <w:sz w:val="24"/>
          <w:szCs w:val="24"/>
        </w:rPr>
        <w:t>.</w:t>
      </w:r>
      <w:proofErr w:type="gramEnd"/>
      <w:r w:rsidRPr="00B10D5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B10D55">
        <w:rPr>
          <w:rFonts w:ascii="Times New Roman" w:hAnsi="Times New Roman"/>
          <w:sz w:val="24"/>
          <w:szCs w:val="24"/>
        </w:rPr>
        <w:t>tukar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guling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itu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dilaksanakan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tanpa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persetujuan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Dewan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Perwakilan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Rakyat Daerah</w:t>
      </w:r>
      <w:r w:rsidR="00B10D55">
        <w:rPr>
          <w:rFonts w:ascii="Times New Roman" w:hAnsi="Times New Roman"/>
          <w:sz w:val="24"/>
          <w:szCs w:val="24"/>
          <w:lang w:val="id-ID"/>
        </w:rPr>
        <w:t xml:space="preserve"> (DPRD)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Kabupaten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D55">
        <w:rPr>
          <w:rFonts w:ascii="Times New Roman" w:hAnsi="Times New Roman"/>
          <w:sz w:val="24"/>
          <w:szCs w:val="24"/>
        </w:rPr>
        <w:t>sehingga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melanggar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Pasal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75</w:t>
      </w:r>
      <w:r w:rsidRPr="00B10D5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aturan M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en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teri Dalam Negeri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r w:rsidRPr="00B10D55">
        <w:rPr>
          <w:rFonts w:ascii="Times New Roman" w:hAnsi="Times New Roman"/>
          <w:sz w:val="24"/>
          <w:szCs w:val="24"/>
          <w:lang w:val="id-ID"/>
        </w:rPr>
        <w:t>(</w:t>
      </w:r>
      <w:proofErr w:type="spellStart"/>
      <w:r w:rsidRPr="00B10D55">
        <w:rPr>
          <w:rFonts w:ascii="Times New Roman" w:hAnsi="Times New Roman"/>
          <w:sz w:val="24"/>
          <w:szCs w:val="24"/>
        </w:rPr>
        <w:t>Permendagri</w:t>
      </w:r>
      <w:proofErr w:type="spellEnd"/>
      <w:r w:rsidRPr="00B10D55">
        <w:rPr>
          <w:rFonts w:ascii="Times New Roman" w:hAnsi="Times New Roman"/>
          <w:sz w:val="24"/>
          <w:szCs w:val="24"/>
          <w:lang w:val="id-ID"/>
        </w:rPr>
        <w:t>)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Nomor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B10D55">
        <w:rPr>
          <w:rFonts w:ascii="Times New Roman" w:hAnsi="Times New Roman"/>
          <w:sz w:val="24"/>
          <w:szCs w:val="24"/>
        </w:rPr>
        <w:t>Tahun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2007 </w:t>
      </w:r>
      <w:proofErr w:type="spellStart"/>
      <w:r w:rsidRPr="00B10D55">
        <w:rPr>
          <w:rFonts w:ascii="Times New Roman" w:hAnsi="Times New Roman"/>
          <w:sz w:val="24"/>
          <w:szCs w:val="24"/>
        </w:rPr>
        <w:t>tentang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Pedoman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Teknis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Pengelolaan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Barang Milik Daerah</w:t>
      </w:r>
      <w:r w:rsidRPr="00B10D55">
        <w:rPr>
          <w:rFonts w:ascii="Times New Roman" w:hAnsi="Times New Roman"/>
          <w:sz w:val="24"/>
          <w:szCs w:val="24"/>
        </w:rPr>
        <w:t>.</w:t>
      </w:r>
      <w:r w:rsidRPr="00B10D5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E56B5" w:rsidRPr="00B10D55" w:rsidRDefault="007E56B5" w:rsidP="00EB58A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10D55">
        <w:rPr>
          <w:rFonts w:ascii="Times New Roman" w:hAnsi="Times New Roman"/>
          <w:sz w:val="24"/>
          <w:szCs w:val="24"/>
        </w:rPr>
        <w:t>Sebelumnya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D55">
        <w:rPr>
          <w:rFonts w:ascii="Times New Roman" w:hAnsi="Times New Roman"/>
          <w:sz w:val="24"/>
          <w:szCs w:val="24"/>
        </w:rPr>
        <w:t>Bupati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Piet </w:t>
      </w:r>
      <w:proofErr w:type="spellStart"/>
      <w:r w:rsidRPr="00B10D55">
        <w:rPr>
          <w:rFonts w:ascii="Times New Roman" w:hAnsi="Times New Roman"/>
          <w:sz w:val="24"/>
          <w:szCs w:val="24"/>
        </w:rPr>
        <w:t>Inkiriwang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juga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telah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membenarkan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bahwa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lokasi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Dermaga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Danau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seluas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1.617 meter </w:t>
      </w:r>
      <w:proofErr w:type="spellStart"/>
      <w:r w:rsidRPr="00B10D55">
        <w:rPr>
          <w:rFonts w:ascii="Times New Roman" w:hAnsi="Times New Roman"/>
          <w:sz w:val="24"/>
          <w:szCs w:val="24"/>
        </w:rPr>
        <w:t>persegi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milik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Pemerintah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Kabupaten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telah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ditukar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dengan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tanah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milik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Yafet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Satigi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seluas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2.475 meter </w:t>
      </w:r>
      <w:proofErr w:type="spellStart"/>
      <w:r w:rsidRPr="00B10D55">
        <w:rPr>
          <w:rFonts w:ascii="Times New Roman" w:hAnsi="Times New Roman"/>
          <w:sz w:val="24"/>
          <w:szCs w:val="24"/>
        </w:rPr>
        <w:t>persegi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10D55">
        <w:rPr>
          <w:rFonts w:ascii="Times New Roman" w:hAnsi="Times New Roman"/>
          <w:sz w:val="24"/>
          <w:szCs w:val="24"/>
        </w:rPr>
        <w:t>Kelurahan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Sangele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D55">
        <w:rPr>
          <w:rFonts w:ascii="Times New Roman" w:hAnsi="Times New Roman"/>
          <w:sz w:val="24"/>
          <w:szCs w:val="24"/>
        </w:rPr>
        <w:t>Kecamatan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Pamona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Utara, </w:t>
      </w:r>
      <w:proofErr w:type="spellStart"/>
      <w:r w:rsidRPr="00B10D55">
        <w:rPr>
          <w:rFonts w:ascii="Times New Roman" w:hAnsi="Times New Roman"/>
          <w:sz w:val="24"/>
          <w:szCs w:val="24"/>
        </w:rPr>
        <w:t>Kabupaten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10D55">
        <w:rPr>
          <w:rFonts w:ascii="Times New Roman" w:hAnsi="Times New Roman"/>
          <w:sz w:val="24"/>
          <w:szCs w:val="24"/>
        </w:rPr>
        <w:t>Tukar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aset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ini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berdasarkan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Surat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Keputusan</w:t>
      </w:r>
      <w:proofErr w:type="spellEnd"/>
      <w:r w:rsidRPr="00B10D55">
        <w:rPr>
          <w:rFonts w:ascii="Times New Roman" w:hAnsi="Times New Roman"/>
          <w:sz w:val="24"/>
          <w:szCs w:val="24"/>
          <w:lang w:val="id-ID"/>
        </w:rPr>
        <w:t xml:space="preserve"> (SK)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Bupati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tentang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Penetapan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Tukar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Guling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tertanggal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B10D55">
        <w:rPr>
          <w:rFonts w:ascii="Times New Roman" w:hAnsi="Times New Roman"/>
          <w:sz w:val="24"/>
          <w:szCs w:val="24"/>
        </w:rPr>
        <w:t>Juli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2010.</w:t>
      </w:r>
      <w:proofErr w:type="gramEnd"/>
    </w:p>
    <w:p w:rsidR="007E56B5" w:rsidRPr="00B10D55" w:rsidRDefault="007E56B5" w:rsidP="00EB58AF">
      <w:pPr>
        <w:spacing w:after="12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 w:eastAsia="en-AU"/>
        </w:rPr>
      </w:pPr>
      <w:proofErr w:type="gramStart"/>
      <w:r w:rsidRPr="00B10D55">
        <w:rPr>
          <w:rFonts w:ascii="Times New Roman" w:hAnsi="Times New Roman"/>
          <w:sz w:val="24"/>
          <w:szCs w:val="24"/>
        </w:rPr>
        <w:t xml:space="preserve">Piet </w:t>
      </w:r>
      <w:proofErr w:type="spellStart"/>
      <w:r w:rsidRPr="00B10D55">
        <w:rPr>
          <w:rFonts w:ascii="Times New Roman" w:hAnsi="Times New Roman"/>
          <w:sz w:val="24"/>
          <w:szCs w:val="24"/>
        </w:rPr>
        <w:t>hadir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dalam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pemeriksaan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pada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Selasa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, 13 </w:t>
      </w:r>
      <w:proofErr w:type="spellStart"/>
      <w:r w:rsidRPr="00B10D55">
        <w:rPr>
          <w:rFonts w:ascii="Times New Roman" w:hAnsi="Times New Roman"/>
          <w:sz w:val="24"/>
          <w:szCs w:val="24"/>
        </w:rPr>
        <w:t>Januari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2015.</w:t>
      </w:r>
      <w:proofErr w:type="gramEnd"/>
      <w:r w:rsidRPr="00B10D55">
        <w:rPr>
          <w:rFonts w:ascii="Times New Roman" w:hAnsi="Times New Roman"/>
          <w:sz w:val="24"/>
          <w:szCs w:val="24"/>
        </w:rPr>
        <w:t xml:space="preserve"> </w:t>
      </w:r>
      <w:r w:rsidRPr="00B10D55">
        <w:rPr>
          <w:rFonts w:ascii="Times New Roman" w:hAnsi="Times New Roman"/>
          <w:sz w:val="24"/>
          <w:szCs w:val="24"/>
          <w:lang w:val="id-ID"/>
        </w:rPr>
        <w:t>Lebih lanjut</w:t>
      </w:r>
      <w:r w:rsidRPr="00B10D55">
        <w:rPr>
          <w:rFonts w:ascii="Times New Roman" w:hAnsi="Times New Roman"/>
          <w:sz w:val="24"/>
          <w:szCs w:val="24"/>
        </w:rPr>
        <w:t xml:space="preserve">, </w:t>
      </w:r>
      <w:r w:rsidRPr="00B10D55">
        <w:rPr>
          <w:rFonts w:ascii="Times New Roman" w:hAnsi="Times New Roman"/>
          <w:sz w:val="24"/>
          <w:szCs w:val="24"/>
          <w:lang w:val="id-ID"/>
        </w:rPr>
        <w:t>Polda Sulteng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r w:rsidRPr="00B10D55">
        <w:rPr>
          <w:rFonts w:ascii="Times New Roman" w:hAnsi="Times New Roman"/>
          <w:sz w:val="24"/>
          <w:szCs w:val="24"/>
          <w:lang w:val="id-ID"/>
        </w:rPr>
        <w:t>juga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memeriksa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mantan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Sekretaris</w:t>
      </w:r>
      <w:proofErr w:type="spellEnd"/>
      <w:r w:rsidRPr="00B10D55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B10D55">
        <w:rPr>
          <w:rFonts w:ascii="Times New Roman" w:hAnsi="Times New Roman"/>
          <w:sz w:val="24"/>
          <w:szCs w:val="24"/>
        </w:rPr>
        <w:t>Kabupaten</w:t>
      </w:r>
      <w:proofErr w:type="spellEnd"/>
      <w:r w:rsidRPr="00B10D55">
        <w:rPr>
          <w:rFonts w:ascii="Times New Roman" w:hAnsi="Times New Roman"/>
          <w:sz w:val="24"/>
          <w:szCs w:val="24"/>
          <w:lang w:val="id-ID"/>
        </w:rPr>
        <w:t xml:space="preserve"> (Sekkab)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Pr="00B10D55">
        <w:rPr>
          <w:rFonts w:ascii="Times New Roman" w:hAnsi="Times New Roman"/>
          <w:sz w:val="24"/>
          <w:szCs w:val="24"/>
          <w:lang w:val="id-ID"/>
        </w:rPr>
        <w:t>,</w:t>
      </w:r>
      <w:r w:rsidRPr="00B10D55">
        <w:rPr>
          <w:rFonts w:ascii="Times New Roman" w:hAnsi="Times New Roman"/>
          <w:sz w:val="24"/>
          <w:szCs w:val="24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Drs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.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H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.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Lawasa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,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MM</w:t>
      </w:r>
      <w:r w:rsidRPr="00B10D55">
        <w:rPr>
          <w:rFonts w:ascii="Times New Roman" w:hAnsi="Times New Roman"/>
          <w:sz w:val="24"/>
          <w:szCs w:val="24"/>
        </w:rPr>
        <w:t>.</w:t>
      </w:r>
    </w:p>
    <w:p w:rsidR="00EB58AF" w:rsidRPr="00B10D55" w:rsidRDefault="00EB58AF" w:rsidP="00EB58AF">
      <w:pPr>
        <w:spacing w:after="12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en-AU"/>
        </w:rPr>
      </w:pP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Penetapan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pemeriksaan</w:t>
      </w:r>
      <w:proofErr w:type="spellEnd"/>
      <w:r w:rsidR="007E56B5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</w:t>
      </w:r>
      <w:proofErr w:type="spellStart"/>
      <w:r w:rsidR="007E56B5" w:rsidRPr="00B10D55">
        <w:rPr>
          <w:rFonts w:ascii="Times New Roman" w:hAnsi="Times New Roman"/>
          <w:sz w:val="24"/>
          <w:szCs w:val="24"/>
        </w:rPr>
        <w:t>mantan</w:t>
      </w:r>
      <w:proofErr w:type="spellEnd"/>
      <w:r w:rsidR="007E56B5" w:rsidRPr="00B10D55">
        <w:rPr>
          <w:rFonts w:ascii="Times New Roman" w:hAnsi="Times New Roman"/>
          <w:sz w:val="24"/>
          <w:szCs w:val="24"/>
        </w:rPr>
        <w:t xml:space="preserve"> Se</w:t>
      </w:r>
      <w:r w:rsidR="007E56B5" w:rsidRPr="00B10D55">
        <w:rPr>
          <w:rFonts w:ascii="Times New Roman" w:hAnsi="Times New Roman"/>
          <w:sz w:val="24"/>
          <w:szCs w:val="24"/>
          <w:lang w:val="id-ID"/>
        </w:rPr>
        <w:t>kkab</w:t>
      </w:r>
      <w:r w:rsidR="007E56B5" w:rsidRPr="00B1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B5" w:rsidRPr="00B10D55">
        <w:rPr>
          <w:rFonts w:ascii="Times New Roman" w:hAnsi="Times New Roman"/>
          <w:sz w:val="24"/>
          <w:szCs w:val="24"/>
        </w:rPr>
        <w:t>Poso</w:t>
      </w:r>
      <w:proofErr w:type="spellEnd"/>
      <w:r w:rsidR="007E56B5" w:rsidRPr="00B10D55">
        <w:rPr>
          <w:rFonts w:ascii="Times New Roman" w:hAnsi="Times New Roman"/>
          <w:sz w:val="24"/>
          <w:szCs w:val="24"/>
          <w:lang w:val="id-ID"/>
        </w:rPr>
        <w:t xml:space="preserve"> yang sekarang menjabat sebagai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Sekretaris Daerah Provinsi (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Sekprov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) Sulteng,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Drs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.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H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.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Lawasa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,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MM,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sebagai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tersangka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kasus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guling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aset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Pemerintah Daerah (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Pemda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)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Poso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mendapat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respons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dari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Biro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Hukum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Sekretariat Daerah Provinsi Sulteng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.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Kepala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Biro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Hukum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,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Abd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.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Haris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Yotolembah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,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yang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mendampingi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pemeriksaan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mengungkapkan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fakta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lain.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Berdasarkan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dokumen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SK</w:t>
      </w:r>
      <w:r w:rsidR="007E56B5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Bupati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Poso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Lawasa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selayaknya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hanya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dapat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dijadikan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saksi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perkara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ini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</w:p>
    <w:p w:rsidR="00EB58AF" w:rsidRPr="00B10D55" w:rsidRDefault="00EB58AF" w:rsidP="00EB58AF">
      <w:pPr>
        <w:spacing w:after="12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en-AU"/>
        </w:rPr>
      </w:pP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lastRenderedPageBreak/>
        <w:t>Tak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bermaksud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mengintervensi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kewenangan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penyidik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, K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epala Biro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Hukum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mengatakan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guling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lokasi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dermaga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dilakukan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berdasarkan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SK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B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upati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Poso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setelah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dilakukan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penyerahan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aset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dari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erintah P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rov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insi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Sulteng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Pemda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Poso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SK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B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upati</w:t>
      </w:r>
      <w:proofErr w:type="spellEnd"/>
      <w:r w:rsidR="007E56B5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Poso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tentang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guling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objek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perkara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(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guling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dermaga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)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dengan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milik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Yafet</w:t>
      </w:r>
      <w:proofErr w:type="spellEnd"/>
      <w:r w:rsidR="007E56B5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</w:t>
      </w:r>
      <w:proofErr w:type="spellStart"/>
      <w:r w:rsidR="007E56B5" w:rsidRPr="00B10D55">
        <w:rPr>
          <w:rFonts w:ascii="Times New Roman" w:hAnsi="Times New Roman"/>
          <w:sz w:val="24"/>
          <w:szCs w:val="24"/>
        </w:rPr>
        <w:t>Satigi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Selain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itu</w:t>
      </w:r>
      <w:proofErr w:type="spellEnd"/>
      <w:r w:rsidR="007E56B5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,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adanya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surat</w:t>
      </w:r>
      <w:proofErr w:type="spellEnd"/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penyerahan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yang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dibuat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oleh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Pemerintah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Kecamatan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Pamona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Utara,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adanya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penyerahan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dua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belah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pihak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yakni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Yafet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="007E56B5" w:rsidRPr="00B10D55">
        <w:rPr>
          <w:rFonts w:ascii="Times New Roman" w:hAnsi="Times New Roman"/>
          <w:sz w:val="24"/>
          <w:szCs w:val="24"/>
        </w:rPr>
        <w:t>Satigi</w:t>
      </w:r>
      <w:proofErr w:type="spellEnd"/>
      <w:r w:rsidR="007E56B5"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menyerahkan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tanahnya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B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upati</w:t>
      </w:r>
      <w:proofErr w:type="spellEnd"/>
      <w:r w:rsidR="007E56B5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Poso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</w:p>
    <w:p w:rsidR="00EB58AF" w:rsidRPr="00B10D55" w:rsidRDefault="00EB58AF" w:rsidP="00EB58AF">
      <w:pPr>
        <w:spacing w:after="12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en-AU"/>
        </w:rPr>
      </w:pP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''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Kedua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surat</w:t>
      </w:r>
      <w:proofErr w:type="spellEnd"/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ini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tidak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yang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menyebutkan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nama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P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S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ekprov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(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Lawasa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).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Tapi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kok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S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ekprov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yang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jadi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tersangka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?'' kata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Abd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.</w:t>
      </w:r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Haris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="00035C64"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Yotolembah</w:t>
      </w:r>
      <w:proofErr w:type="spellEnd"/>
      <w:r w:rsidR="00035C64"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wartawan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di </w:t>
      </w:r>
      <w:proofErr w:type="gramStart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k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antor</w:t>
      </w:r>
      <w:proofErr w:type="spellEnd"/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Gubernur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Jumat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(16/1).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SK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Bupati Poso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N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omor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188.45/1478/2010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ditandatangani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oleh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B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upati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Poso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tidak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sepenggalpun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menyebutkan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Lawasa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(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retaris Daerah Kabupaten Poso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saat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itu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).</w:t>
      </w:r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SK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Bupati Poso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menetapkan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adanya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perintah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Bupati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Poso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Kepala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Dinas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Perhubungan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Komunikasi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Informatika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Kabupaten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Poso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Kepala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Dinas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Pendapatan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Pengelolaan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Keuangan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Aset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Kapubaten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Poso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untuk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segera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memproses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guling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tersebut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  <w:proofErr w:type="gramEnd"/>
    </w:p>
    <w:p w:rsidR="00EB58AF" w:rsidRPr="00B10D55" w:rsidRDefault="00EB58AF" w:rsidP="00EB58AF">
      <w:pPr>
        <w:spacing w:after="12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en-AU"/>
        </w:rPr>
      </w:pP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menjelaskan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berbicara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secara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normatif</w:t>
      </w:r>
      <w:proofErr w:type="spellEnd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 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proses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guling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sesuai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Per</w:t>
      </w:r>
      <w:r w:rsidR="007E56B5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mendagri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Nomor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17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Tahun 2007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tentang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Pedoman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Teknis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Pengelolaan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Barang Milik Daerah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P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asal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74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ayat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(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2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)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disebutkan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sebagaimana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dimaksud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ayat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(1)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dilaksanakan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oleh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P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engelola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yang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menurutnya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adalah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S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ekretaris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Daerah K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abupaten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setelah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mendapat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persetujuan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Kepala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Daerah (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Bupati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)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sesuai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batas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kewenangannya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''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bentuk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apa</w:t>
      </w:r>
      <w:proofErr w:type="spellEnd"/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persetujuan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nya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?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Itulah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SK.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Setelah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SK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keluar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,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dilaksanakan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oleh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P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engelola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d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bentuk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berita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acara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,''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terang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="00035C64"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Abd</w:t>
      </w:r>
      <w:proofErr w:type="spellEnd"/>
      <w:r w:rsidR="00035C64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.</w:t>
      </w:r>
      <w:proofErr w:type="gramEnd"/>
      <w:r w:rsidR="00035C64"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="00035C64"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Haris</w:t>
      </w:r>
      <w:proofErr w:type="spellEnd"/>
      <w:r w:rsidR="00035C64"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="00035C64"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Yotolembah</w:t>
      </w:r>
      <w:proofErr w:type="spellEnd"/>
      <w:r w:rsidR="00035C64"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.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Yang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menjadi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kejanggalan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lanjut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SK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tersebut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tidak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menunjuk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Lawasa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selaku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P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elaksana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  <w:proofErr w:type="gram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Justru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Dinas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Perhubungan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Komunikasi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Informatika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Kabupaten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Poso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 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Dinas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Pendapatan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Pengelolaan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Keuangan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Aset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  <w:proofErr w:type="gram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</w:t>
      </w:r>
    </w:p>
    <w:p w:rsidR="00EB58AF" w:rsidRPr="00B10D55" w:rsidRDefault="00EB58AF" w:rsidP="00EB58AF">
      <w:pPr>
        <w:spacing w:after="12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en-AU"/>
        </w:rPr>
      </w:pP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Terkait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berita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acara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yang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kini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menjadi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salah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satu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alat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bukti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penyidik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penetapan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tersangka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menurut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Haris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saat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diperiksa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penyidik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Lawasa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menerangkan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merasa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tidak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pernah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bertanda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berita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acara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itu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. </w:t>
      </w:r>
      <w:proofErr w:type="spellStart"/>
      <w:proofErr w:type="gram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Keterangan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Lawasa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penyidik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tiga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kemungkinan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sehingga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adanya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berita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acara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dengan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  <w:proofErr w:type="gram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Pertama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di-</w:t>
      </w:r>
      <w:r w:rsidRPr="00B10D55">
        <w:rPr>
          <w:rFonts w:ascii="Times New Roman" w:eastAsia="Times New Roman" w:hAnsi="Times New Roman"/>
          <w:i/>
          <w:sz w:val="24"/>
          <w:szCs w:val="24"/>
          <w:lang w:val="en-AU" w:eastAsia="en-AU"/>
        </w:rPr>
        <w:t>scan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kedua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dipalsukan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ketiga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kemungkinan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sengaja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disisip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dokumen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lain. 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Guna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kepentingan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tersebut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, K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epala Biro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Hukum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yang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mendampingi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pemeriksaan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mengatakan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beberapa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r w:rsidRPr="00B10D55">
        <w:rPr>
          <w:rFonts w:ascii="Times New Roman" w:eastAsia="Times New Roman" w:hAnsi="Times New Roman"/>
          <w:i/>
          <w:sz w:val="24"/>
          <w:szCs w:val="24"/>
          <w:lang w:val="en-AU" w:eastAsia="en-AU"/>
        </w:rPr>
        <w:t>space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Amdjad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diminta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penyidiki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untuk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diperiksa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forensi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k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,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untuk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membuktikan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tanda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tangan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dalam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berita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acara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serah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terima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tukar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guling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tersebut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.</w:t>
      </w:r>
    </w:p>
    <w:p w:rsidR="00EB58AF" w:rsidRPr="00B10D55" w:rsidRDefault="00EB58AF" w:rsidP="00EB58AF">
      <w:pPr>
        <w:spacing w:after="12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en-AU"/>
        </w:rPr>
      </w:pPr>
    </w:p>
    <w:p w:rsidR="00EB58AF" w:rsidRPr="00B10D55" w:rsidRDefault="00EB58AF" w:rsidP="00EB58AF">
      <w:pPr>
        <w:spacing w:after="12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en-AU"/>
        </w:rPr>
      </w:pPr>
    </w:p>
    <w:p w:rsidR="00035C64" w:rsidRPr="00B10D55" w:rsidRDefault="00035C64" w:rsidP="00EB58AF">
      <w:pPr>
        <w:spacing w:after="12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en-AU"/>
        </w:rPr>
      </w:pPr>
    </w:p>
    <w:p w:rsidR="00EB58AF" w:rsidRPr="00B10D55" w:rsidRDefault="00EB58AF" w:rsidP="00B10D55">
      <w:pPr>
        <w:spacing w:after="12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en-AU"/>
        </w:rPr>
      </w:pPr>
      <w:proofErr w:type="spellStart"/>
      <w:r w:rsidRPr="00B10D55">
        <w:rPr>
          <w:rFonts w:ascii="Times New Roman" w:eastAsia="Times New Roman" w:hAnsi="Times New Roman"/>
          <w:b/>
          <w:sz w:val="24"/>
          <w:szCs w:val="24"/>
          <w:lang w:val="en-AU" w:eastAsia="en-AU"/>
        </w:rPr>
        <w:lastRenderedPageBreak/>
        <w:t>Sumber</w:t>
      </w:r>
      <w:proofErr w:type="spellEnd"/>
      <w:r w:rsidRPr="00B10D55">
        <w:rPr>
          <w:rFonts w:ascii="Times New Roman" w:eastAsia="Times New Roman" w:hAnsi="Times New Roman"/>
          <w:b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b/>
          <w:sz w:val="24"/>
          <w:szCs w:val="24"/>
          <w:lang w:val="en-AU" w:eastAsia="en-AU"/>
        </w:rPr>
        <w:t>Berita</w:t>
      </w:r>
      <w:proofErr w:type="spellEnd"/>
      <w:r w:rsidRPr="00B10D55">
        <w:rPr>
          <w:rFonts w:ascii="Times New Roman" w:eastAsia="Times New Roman" w:hAnsi="Times New Roman"/>
          <w:b/>
          <w:sz w:val="24"/>
          <w:szCs w:val="24"/>
          <w:lang w:val="en-AU" w:eastAsia="en-AU"/>
        </w:rPr>
        <w:t>:</w:t>
      </w:r>
    </w:p>
    <w:p w:rsidR="00035C64" w:rsidRPr="00B10D55" w:rsidRDefault="00EB58AF" w:rsidP="00B10D55">
      <w:pPr>
        <w:pStyle w:val="ListParagraph"/>
        <w:numPr>
          <w:ilvl w:val="0"/>
          <w:numId w:val="1"/>
        </w:numPr>
        <w:spacing w:after="120" w:line="31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id-ID" w:eastAsia="en-AU"/>
        </w:rPr>
      </w:pP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Harian 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Radar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Sulteng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, </w:t>
      </w:r>
      <w:r w:rsidRPr="00B10D55">
        <w:rPr>
          <w:rFonts w:ascii="Times New Roman" w:eastAsia="Times New Roman" w:hAnsi="Times New Roman"/>
          <w:i/>
          <w:sz w:val="24"/>
          <w:szCs w:val="24"/>
          <w:lang w:val="id-ID" w:eastAsia="en-AU"/>
        </w:rPr>
        <w:t>Tukar Guling Dermaga Berdasarkan SK Bupati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, Sabtu, 17 Januari 2015.</w:t>
      </w:r>
    </w:p>
    <w:p w:rsidR="00035C64" w:rsidRPr="00B10D55" w:rsidRDefault="00035C64" w:rsidP="00B10D55">
      <w:pPr>
        <w:pStyle w:val="ListParagraph"/>
        <w:numPr>
          <w:ilvl w:val="0"/>
          <w:numId w:val="1"/>
        </w:numPr>
        <w:spacing w:after="120" w:line="31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id-ID" w:eastAsia="en-AU"/>
        </w:rPr>
      </w:pPr>
      <w:hyperlink r:id="rId10" w:history="1">
        <w:r w:rsidRPr="00B10D5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id-ID" w:eastAsia="en-AU"/>
          </w:rPr>
          <w:t>http://www.tempo.co</w:t>
        </w:r>
      </w:hyperlink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, </w:t>
      </w:r>
      <w:r w:rsidRPr="00B10D55">
        <w:rPr>
          <w:rFonts w:ascii="Times New Roman" w:hAnsi="Times New Roman"/>
          <w:i/>
          <w:sz w:val="24"/>
          <w:szCs w:val="24"/>
        </w:rPr>
        <w:t>Bupati Poso Diperiksa Kasus Tukar Guling Aset</w:t>
      </w:r>
      <w:r w:rsidRPr="00B10D55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Rabu, 14 Januari 2015.</w:t>
      </w:r>
    </w:p>
    <w:p w:rsidR="00B10D55" w:rsidRPr="00B10D55" w:rsidRDefault="00B10D55" w:rsidP="00B10D55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val="id-ID" w:eastAsia="en-AU"/>
        </w:rPr>
      </w:pPr>
    </w:p>
    <w:p w:rsidR="00B10D55" w:rsidRPr="00B10D55" w:rsidRDefault="00B10D55" w:rsidP="00B10D55">
      <w:pPr>
        <w:spacing w:after="12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val="id-ID" w:eastAsia="en-AU"/>
        </w:rPr>
      </w:pPr>
      <w:r w:rsidRPr="00B10D55">
        <w:rPr>
          <w:rFonts w:ascii="Times New Roman" w:eastAsia="Times New Roman" w:hAnsi="Times New Roman"/>
          <w:b/>
          <w:sz w:val="24"/>
          <w:szCs w:val="24"/>
          <w:lang w:val="id-ID" w:eastAsia="en-AU"/>
        </w:rPr>
        <w:t>Catatan:</w:t>
      </w:r>
    </w:p>
    <w:p w:rsidR="00EB58AF" w:rsidRPr="00B10D55" w:rsidRDefault="00B10D55" w:rsidP="00B10D55">
      <w:pPr>
        <w:pStyle w:val="ListParagraph"/>
        <w:numPr>
          <w:ilvl w:val="0"/>
          <w:numId w:val="3"/>
        </w:numPr>
        <w:spacing w:after="120" w:line="31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id-ID" w:eastAsia="en-AU"/>
        </w:rPr>
      </w:pP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Berdasarkan 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Per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>mendagri</w:t>
      </w:r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Nomor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17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Tahun 2007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tentang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Pedoman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Teknis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spellStart"/>
      <w:r w:rsidRPr="00B10D55">
        <w:rPr>
          <w:rFonts w:ascii="Times New Roman" w:eastAsia="Times New Roman" w:hAnsi="Times New Roman"/>
          <w:sz w:val="24"/>
          <w:szCs w:val="24"/>
          <w:lang w:val="en-AU" w:eastAsia="en-AU"/>
        </w:rPr>
        <w:t>Pengelolaan</w:t>
      </w:r>
      <w:proofErr w:type="spellEnd"/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 Barang Milik Daerah, </w:t>
      </w:r>
      <w:r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dalam </w:t>
      </w:r>
      <w:r w:rsidRPr="00B10D55">
        <w:rPr>
          <w:rFonts w:ascii="Times New Roman" w:eastAsia="Times New Roman" w:hAnsi="Times New Roman"/>
          <w:sz w:val="24"/>
          <w:szCs w:val="24"/>
          <w:lang w:val="id-ID" w:eastAsia="en-AU"/>
        </w:rPr>
        <w:t xml:space="preserve">Pasal 57 menyatakan bahwa </w:t>
      </w:r>
      <w:r w:rsidRPr="00B10D55">
        <w:rPr>
          <w:rFonts w:ascii="Times New Roman" w:eastAsiaTheme="minorHAnsi" w:hAnsi="Times New Roman"/>
          <w:sz w:val="24"/>
          <w:szCs w:val="24"/>
          <w:lang w:val="id-ID"/>
        </w:rPr>
        <w:t>b</w:t>
      </w:r>
      <w:r>
        <w:rPr>
          <w:rFonts w:ascii="Times New Roman" w:eastAsiaTheme="minorHAnsi" w:hAnsi="Times New Roman"/>
          <w:sz w:val="24"/>
          <w:szCs w:val="24"/>
          <w:lang w:val="id-ID"/>
        </w:rPr>
        <w:t>entuk-bentuk pemi</w:t>
      </w:r>
      <w:r w:rsidRPr="00B10D55">
        <w:rPr>
          <w:rFonts w:ascii="Times New Roman" w:eastAsiaTheme="minorHAnsi" w:hAnsi="Times New Roman"/>
          <w:sz w:val="24"/>
          <w:szCs w:val="24"/>
          <w:lang w:val="id-ID"/>
        </w:rPr>
        <w:t>ndahtanganan sebagai tindak lanjut atas penghapusan barang milik daerah, meliputi:</w:t>
      </w:r>
    </w:p>
    <w:p w:rsidR="00B10D55" w:rsidRPr="00B10D55" w:rsidRDefault="00B10D55" w:rsidP="00407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12" w:lineRule="auto"/>
        <w:ind w:hanging="294"/>
        <w:contextualSpacing w:val="0"/>
        <w:rPr>
          <w:rFonts w:ascii="Times New Roman" w:eastAsiaTheme="minorHAnsi" w:hAnsi="Times New Roman"/>
          <w:sz w:val="24"/>
          <w:szCs w:val="24"/>
          <w:lang w:val="id-ID"/>
        </w:rPr>
      </w:pPr>
      <w:r w:rsidRPr="00B10D55">
        <w:rPr>
          <w:rFonts w:ascii="Times New Roman" w:eastAsiaTheme="minorHAnsi" w:hAnsi="Times New Roman"/>
          <w:sz w:val="24"/>
          <w:szCs w:val="24"/>
          <w:lang w:val="id-ID"/>
        </w:rPr>
        <w:t>Penjualan;</w:t>
      </w:r>
    </w:p>
    <w:p w:rsidR="00B10D55" w:rsidRPr="00B10D55" w:rsidRDefault="00B10D55" w:rsidP="00407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12" w:lineRule="auto"/>
        <w:ind w:hanging="294"/>
        <w:contextualSpacing w:val="0"/>
        <w:rPr>
          <w:rFonts w:ascii="Times New Roman" w:eastAsiaTheme="minorHAnsi" w:hAnsi="Times New Roman"/>
          <w:sz w:val="24"/>
          <w:szCs w:val="24"/>
          <w:lang w:val="id-ID"/>
        </w:rPr>
      </w:pPr>
      <w:r w:rsidRPr="00B10D55">
        <w:rPr>
          <w:rFonts w:ascii="Times New Roman" w:eastAsiaTheme="minorHAnsi" w:hAnsi="Times New Roman"/>
          <w:sz w:val="24"/>
          <w:szCs w:val="24"/>
          <w:lang w:val="id-ID"/>
        </w:rPr>
        <w:t>Tukar menukar;</w:t>
      </w:r>
    </w:p>
    <w:p w:rsidR="00B10D55" w:rsidRPr="004071FD" w:rsidRDefault="00B10D55" w:rsidP="00407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12" w:lineRule="auto"/>
        <w:ind w:hanging="294"/>
        <w:contextualSpacing w:val="0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Hibah; dan</w:t>
      </w:r>
    </w:p>
    <w:p w:rsidR="00B10D55" w:rsidRPr="004071FD" w:rsidRDefault="00B10D55" w:rsidP="00407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12" w:lineRule="auto"/>
        <w:ind w:hanging="294"/>
        <w:contextualSpacing w:val="0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Penyertaan Modal Pemerintah Daerah.</w:t>
      </w:r>
    </w:p>
    <w:p w:rsidR="00B10D55" w:rsidRPr="004071FD" w:rsidRDefault="00B10D55" w:rsidP="004071FD">
      <w:pPr>
        <w:pStyle w:val="ListParagraph"/>
        <w:numPr>
          <w:ilvl w:val="0"/>
          <w:numId w:val="3"/>
        </w:numPr>
        <w:spacing w:after="120" w:line="312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Dalam Pasal 58 menyatakan bahwa pemindahtangangan barang milik daerah ditetapkan dengan Keputusan Kepala Daerah dengan persetujuan DPRD untuk:</w:t>
      </w:r>
    </w:p>
    <w:p w:rsidR="00B10D55" w:rsidRPr="004071FD" w:rsidRDefault="00B10D55" w:rsidP="004071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tanah dan/atau bangunan; dan</w:t>
      </w:r>
    </w:p>
    <w:p w:rsidR="00B10D55" w:rsidRPr="004071FD" w:rsidRDefault="00B10D55" w:rsidP="004071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selain tanah dan/atau bangunan yang bernilai lebih dari Rp.5.000.000.000,00 (lima miliar rupiah).</w:t>
      </w:r>
    </w:p>
    <w:p w:rsidR="004071FD" w:rsidRPr="004071FD" w:rsidRDefault="004071FD" w:rsidP="00407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Tukar menukar barang milik daerah dilaksanakan dengan pertimbangan:</w:t>
      </w:r>
    </w:p>
    <w:p w:rsidR="004071FD" w:rsidRPr="004071FD" w:rsidRDefault="004071FD" w:rsidP="004071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untuk memenuhi kebutuhan operasional penyelenggaraan pemerintahan;</w:t>
      </w:r>
    </w:p>
    <w:p w:rsidR="004071FD" w:rsidRPr="004071FD" w:rsidRDefault="004071FD" w:rsidP="004071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untuk optimalisasi barang milik daerah; dan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tidak tersedia dana dalam Anggaran Pendapatan dan Belanja Daerah.</w:t>
      </w:r>
    </w:p>
    <w:p w:rsidR="004071FD" w:rsidRPr="004071FD" w:rsidRDefault="004071FD" w:rsidP="00407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T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ukar menukar barang milik daerah dapat berupa:</w:t>
      </w:r>
    </w:p>
    <w:p w:rsidR="004071FD" w:rsidRPr="004071FD" w:rsidRDefault="004071FD" w:rsidP="004071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tanah dan/atau bangunan yang telah diserahkan oleh Kepala SKPD kepada Kepala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Daerah melalui pengelola;</w:t>
      </w:r>
    </w:p>
    <w:p w:rsidR="004071FD" w:rsidRPr="004071FD" w:rsidRDefault="004071FD" w:rsidP="004071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tanah dan/atau bangunan yang masih dipergunakan untuk penyelenggaraan tugas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pokok dan fungsi pengguna tetapi tidak sesuai dengan tata ruang wilayah atau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penataan kota; dan</w:t>
      </w:r>
    </w:p>
    <w:p w:rsidR="004071FD" w:rsidRPr="004071FD" w:rsidRDefault="004071FD" w:rsidP="004071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barang milik daerah selain tanah dan/atau bangunan.</w:t>
      </w:r>
    </w:p>
    <w:p w:rsidR="004071FD" w:rsidRDefault="004071FD" w:rsidP="004071FD">
      <w:pPr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Tukar menukar sebagaimana dimaksud pada ayat (1), dilaksanakan oleh pengelola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setelah mendapat persetujuan Kepala Daerah sesuai batas kewenangannya.</w:t>
      </w:r>
    </w:p>
    <w:p w:rsidR="004071FD" w:rsidRDefault="004071FD" w:rsidP="004071FD">
      <w:pPr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4071FD" w:rsidRPr="004071FD" w:rsidRDefault="004071FD" w:rsidP="004071FD">
      <w:pPr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4071FD" w:rsidRPr="004071FD" w:rsidRDefault="004071FD" w:rsidP="00407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lastRenderedPageBreak/>
        <w:t>Tukar menukar barang milik daerah dilaksanakan dengan ketentuan sebagai berikut:</w:t>
      </w:r>
    </w:p>
    <w:p w:rsidR="004071FD" w:rsidRPr="004071FD" w:rsidRDefault="004071FD" w:rsidP="004071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pengguna mengajukan usul tukar menukar kepada pengelola disertai alasan dan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pertimbangan, kelengkapan data dan hasil pengkajian Panitia yang ditetapkan dengan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Keputusan Kepala Daerah;</w:t>
      </w:r>
    </w:p>
    <w:p w:rsidR="004071FD" w:rsidRPr="004071FD" w:rsidRDefault="004071FD" w:rsidP="004071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pengelola meneliti dan mengkaji alasan/pertimbangan perlunya tukar menukar tanah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dan/atau bangunan dari aspek teknis, ekonomis dan yuridis;</w:t>
      </w:r>
    </w:p>
    <w:p w:rsidR="004071FD" w:rsidRPr="004071FD" w:rsidRDefault="004071FD" w:rsidP="004071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apabila memenuhi syarat sesuai peraturan yang berlaku, pengelola dapat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071FD">
        <w:rPr>
          <w:rFonts w:ascii="Times New Roman" w:eastAsiaTheme="minorHAnsi" w:hAnsi="Times New Roman"/>
          <w:sz w:val="24"/>
          <w:szCs w:val="24"/>
          <w:lang w:val="id-ID"/>
        </w:rPr>
        <w:t>mempertimbangkan untuk menyetujui sesuai batas kewenangannya;</w:t>
      </w:r>
    </w:p>
    <w:p w:rsidR="004071FD" w:rsidRPr="004071FD" w:rsidRDefault="004071FD" w:rsidP="004071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pengguna melaksanakan tukar menukar setelah mendapat persetujuan pengelola; dan</w:t>
      </w:r>
    </w:p>
    <w:p w:rsidR="004071FD" w:rsidRPr="004071FD" w:rsidRDefault="004071FD" w:rsidP="004071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12" w:lineRule="auto"/>
        <w:ind w:hanging="294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4071FD">
        <w:rPr>
          <w:rFonts w:ascii="Times New Roman" w:eastAsiaTheme="minorHAnsi" w:hAnsi="Times New Roman"/>
          <w:sz w:val="24"/>
          <w:szCs w:val="24"/>
          <w:lang w:val="id-ID"/>
        </w:rPr>
        <w:t>pelaksanaan serah terima barang dituangkan dalam Berita Acara Serah Terima Barang.</w:t>
      </w:r>
    </w:p>
    <w:p w:rsidR="00B10D55" w:rsidRPr="004071FD" w:rsidRDefault="00B10D55" w:rsidP="004071FD">
      <w:pPr>
        <w:pStyle w:val="ListParagraph"/>
        <w:spacing w:after="120" w:line="312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B10D55" w:rsidRPr="00B10D55" w:rsidRDefault="00B10D55" w:rsidP="00B10D55">
      <w:pPr>
        <w:pStyle w:val="ListParagraph"/>
        <w:spacing w:after="120" w:line="312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B10D55" w:rsidRPr="00B10D55" w:rsidRDefault="00B10D55" w:rsidP="00B10D55">
      <w:pPr>
        <w:pStyle w:val="ListParagraph"/>
        <w:spacing w:after="120" w:line="312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EB58AF" w:rsidRPr="004071FD" w:rsidRDefault="00EB58AF" w:rsidP="00EB58AF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val="id-ID" w:eastAsia="en-AU"/>
        </w:rPr>
      </w:pPr>
    </w:p>
    <w:p w:rsidR="00EB58AF" w:rsidRPr="00B10D55" w:rsidRDefault="00EB58AF" w:rsidP="00EB58AF">
      <w:pPr>
        <w:spacing w:after="120" w:line="312" w:lineRule="auto"/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</w:p>
    <w:p w:rsidR="00B10D55" w:rsidRPr="00B10D55" w:rsidRDefault="00B10D55" w:rsidP="00EB58AF">
      <w:pPr>
        <w:spacing w:after="120" w:line="312" w:lineRule="auto"/>
        <w:rPr>
          <w:rFonts w:ascii="Times New Roman" w:hAnsi="Times New Roman"/>
          <w:sz w:val="24"/>
          <w:szCs w:val="24"/>
        </w:rPr>
      </w:pPr>
    </w:p>
    <w:sectPr w:rsidR="00B10D55" w:rsidRPr="00B10D5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55" w:rsidRDefault="00B10D55" w:rsidP="00EB58AF">
      <w:pPr>
        <w:spacing w:after="0" w:line="240" w:lineRule="auto"/>
      </w:pPr>
      <w:r>
        <w:separator/>
      </w:r>
    </w:p>
  </w:endnote>
  <w:endnote w:type="continuationSeparator" w:id="0">
    <w:p w:rsidR="00B10D55" w:rsidRDefault="00B10D55" w:rsidP="00EB58AF">
      <w:pPr>
        <w:spacing w:after="0" w:line="240" w:lineRule="auto"/>
      </w:pPr>
      <w:r>
        <w:continuationSeparator/>
      </w:r>
    </w:p>
  </w:endnote>
  <w:endnote w:id="1">
    <w:p w:rsidR="004071FD" w:rsidRPr="004071FD" w:rsidRDefault="004071FD" w:rsidP="004071FD">
      <w:pPr>
        <w:pStyle w:val="EndnoteText"/>
        <w:jc w:val="both"/>
        <w:rPr>
          <w:rFonts w:ascii="Times New Roman" w:hAnsi="Times New Roman"/>
          <w:lang w:val="id-ID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rFonts w:ascii="Times New Roman" w:hAnsi="Times New Roman"/>
        </w:rPr>
        <w:t>Korupsi</w:t>
      </w:r>
      <w:proofErr w:type="spellEnd"/>
      <w:r w:rsidRPr="00F404E0">
        <w:rPr>
          <w:rFonts w:ascii="Times New Roman" w:hAnsi="Times New Roman"/>
        </w:rPr>
        <w:t xml:space="preserve"> </w:t>
      </w:r>
      <w:proofErr w:type="spellStart"/>
      <w:r w:rsidRPr="00F404E0">
        <w:rPr>
          <w:rFonts w:ascii="Times New Roman" w:hAnsi="Times New Roman"/>
        </w:rPr>
        <w:t>adalah</w:t>
      </w:r>
      <w:proofErr w:type="spellEnd"/>
      <w:r w:rsidRPr="00F404E0">
        <w:rPr>
          <w:rFonts w:ascii="Times New Roman" w:hAnsi="Times New Roman"/>
        </w:rPr>
        <w:t xml:space="preserve"> </w:t>
      </w:r>
      <w:proofErr w:type="spellStart"/>
      <w:r w:rsidRPr="00F404E0">
        <w:rPr>
          <w:rFonts w:ascii="Times New Roman" w:hAnsi="Times New Roman"/>
        </w:rPr>
        <w:t>setiap</w:t>
      </w:r>
      <w:proofErr w:type="spellEnd"/>
      <w:r w:rsidRPr="00F404E0">
        <w:rPr>
          <w:rFonts w:ascii="Times New Roman" w:hAnsi="Times New Roman"/>
        </w:rPr>
        <w:t xml:space="preserve"> orang yang </w:t>
      </w:r>
      <w:proofErr w:type="spellStart"/>
      <w:r w:rsidRPr="00F404E0">
        <w:rPr>
          <w:rFonts w:ascii="Times New Roman" w:hAnsi="Times New Roman"/>
        </w:rPr>
        <w:t>secara</w:t>
      </w:r>
      <w:proofErr w:type="spellEnd"/>
      <w:r w:rsidRPr="00F404E0">
        <w:rPr>
          <w:rFonts w:ascii="Times New Roman" w:hAnsi="Times New Roman"/>
        </w:rPr>
        <w:t xml:space="preserve"> </w:t>
      </w:r>
      <w:proofErr w:type="spellStart"/>
      <w:r w:rsidRPr="00F404E0">
        <w:rPr>
          <w:rFonts w:ascii="Times New Roman" w:hAnsi="Times New Roman"/>
        </w:rPr>
        <w:t>melawan</w:t>
      </w:r>
      <w:proofErr w:type="spellEnd"/>
      <w:r w:rsidRPr="00F404E0">
        <w:rPr>
          <w:rFonts w:ascii="Times New Roman" w:hAnsi="Times New Roman"/>
        </w:rPr>
        <w:t xml:space="preserve"> </w:t>
      </w:r>
      <w:proofErr w:type="spellStart"/>
      <w:r w:rsidRPr="00F404E0">
        <w:rPr>
          <w:rFonts w:ascii="Times New Roman" w:hAnsi="Times New Roman"/>
        </w:rPr>
        <w:t>hukum</w:t>
      </w:r>
      <w:proofErr w:type="spellEnd"/>
      <w:r w:rsidRPr="00F404E0">
        <w:rPr>
          <w:rFonts w:ascii="Times New Roman" w:hAnsi="Times New Roman"/>
        </w:rPr>
        <w:t xml:space="preserve">, </w:t>
      </w:r>
      <w:proofErr w:type="spellStart"/>
      <w:r w:rsidRPr="00F404E0">
        <w:rPr>
          <w:rFonts w:ascii="Times New Roman" w:hAnsi="Times New Roman"/>
        </w:rPr>
        <w:t>menyalahgu</w:t>
      </w:r>
      <w:r w:rsidRPr="00BC6319">
        <w:rPr>
          <w:rFonts w:ascii="Times New Roman" w:hAnsi="Times New Roman"/>
        </w:rPr>
        <w:t>nakan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kewenangan</w:t>
      </w:r>
      <w:proofErr w:type="spellEnd"/>
      <w:r w:rsidRPr="00BC6319">
        <w:rPr>
          <w:rFonts w:ascii="Times New Roman" w:hAnsi="Times New Roman"/>
        </w:rPr>
        <w:t xml:space="preserve">, </w:t>
      </w:r>
      <w:proofErr w:type="spellStart"/>
      <w:r w:rsidRPr="00BC6319">
        <w:rPr>
          <w:rFonts w:ascii="Times New Roman" w:hAnsi="Times New Roman"/>
        </w:rPr>
        <w:t>kesempatan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atau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sarana</w:t>
      </w:r>
      <w:proofErr w:type="spellEnd"/>
      <w:r w:rsidRPr="00BC6319">
        <w:rPr>
          <w:rFonts w:ascii="Times New Roman" w:hAnsi="Times New Roman"/>
        </w:rPr>
        <w:t xml:space="preserve"> yang </w:t>
      </w:r>
      <w:proofErr w:type="spellStart"/>
      <w:r w:rsidRPr="00BC6319">
        <w:rPr>
          <w:rFonts w:ascii="Times New Roman" w:hAnsi="Times New Roman"/>
        </w:rPr>
        <w:t>ada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padanya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melakukan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perbuatan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memperkaya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diri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sendiri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atau</w:t>
      </w:r>
      <w:proofErr w:type="spellEnd"/>
      <w:r w:rsidRPr="00BC6319">
        <w:rPr>
          <w:rFonts w:ascii="Times New Roman" w:hAnsi="Times New Roman"/>
        </w:rPr>
        <w:t xml:space="preserve"> orang lain </w:t>
      </w:r>
      <w:proofErr w:type="spellStart"/>
      <w:r w:rsidRPr="00BC6319">
        <w:rPr>
          <w:rFonts w:ascii="Times New Roman" w:hAnsi="Times New Roman"/>
        </w:rPr>
        <w:t>atau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suatu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korporasi</w:t>
      </w:r>
      <w:proofErr w:type="spellEnd"/>
      <w:r w:rsidRPr="00BC6319">
        <w:rPr>
          <w:rFonts w:ascii="Times New Roman" w:hAnsi="Times New Roman"/>
        </w:rPr>
        <w:t xml:space="preserve"> yang </w:t>
      </w:r>
      <w:proofErr w:type="spellStart"/>
      <w:r w:rsidRPr="00BC6319">
        <w:rPr>
          <w:rFonts w:ascii="Times New Roman" w:hAnsi="Times New Roman"/>
        </w:rPr>
        <w:t>dapat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merugikan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keuangan</w:t>
      </w:r>
      <w:proofErr w:type="spellEnd"/>
      <w:r w:rsidRPr="00BC6319">
        <w:rPr>
          <w:rFonts w:ascii="Times New Roman" w:hAnsi="Times New Roman"/>
        </w:rPr>
        <w:t xml:space="preserve"> Negara </w:t>
      </w:r>
      <w:proofErr w:type="spellStart"/>
      <w:r w:rsidRPr="00BC6319">
        <w:rPr>
          <w:rFonts w:ascii="Times New Roman" w:hAnsi="Times New Roman"/>
        </w:rPr>
        <w:t>atau</w:t>
      </w:r>
      <w:proofErr w:type="spellEnd"/>
      <w:r w:rsidRPr="00BC6319">
        <w:rPr>
          <w:rFonts w:ascii="Times New Roman" w:hAnsi="Times New Roman"/>
        </w:rPr>
        <w:t xml:space="preserve"> </w:t>
      </w:r>
      <w:proofErr w:type="spellStart"/>
      <w:r w:rsidRPr="00BC6319">
        <w:rPr>
          <w:rFonts w:ascii="Times New Roman" w:hAnsi="Times New Roman"/>
        </w:rPr>
        <w:t>perekonomian</w:t>
      </w:r>
      <w:proofErr w:type="spellEnd"/>
      <w:r w:rsidRPr="00BC6319">
        <w:rPr>
          <w:rFonts w:ascii="Times New Roman" w:hAnsi="Times New Roman"/>
        </w:rPr>
        <w:t xml:space="preserve"> Nega</w:t>
      </w:r>
      <w:r w:rsidRPr="004071FD">
        <w:rPr>
          <w:rFonts w:ascii="Times New Roman" w:hAnsi="Times New Roman"/>
        </w:rPr>
        <w:t>ra (</w:t>
      </w:r>
      <w:proofErr w:type="spellStart"/>
      <w:r w:rsidRPr="004071FD">
        <w:rPr>
          <w:rFonts w:ascii="Times New Roman" w:hAnsi="Times New Roman"/>
          <w:i/>
        </w:rPr>
        <w:t>Pasal</w:t>
      </w:r>
      <w:proofErr w:type="spellEnd"/>
      <w:r w:rsidRPr="004071FD">
        <w:rPr>
          <w:rFonts w:ascii="Times New Roman" w:hAnsi="Times New Roman"/>
          <w:i/>
        </w:rPr>
        <w:t xml:space="preserve"> 2 </w:t>
      </w:r>
      <w:proofErr w:type="spellStart"/>
      <w:r w:rsidRPr="004071FD">
        <w:rPr>
          <w:rFonts w:ascii="Times New Roman" w:hAnsi="Times New Roman"/>
          <w:i/>
        </w:rPr>
        <w:t>dan</w:t>
      </w:r>
      <w:proofErr w:type="spellEnd"/>
      <w:r w:rsidRPr="004071FD">
        <w:rPr>
          <w:rFonts w:ascii="Times New Roman" w:hAnsi="Times New Roman"/>
          <w:i/>
        </w:rPr>
        <w:t xml:space="preserve"> 3 </w:t>
      </w:r>
      <w:proofErr w:type="spellStart"/>
      <w:r w:rsidRPr="004071FD">
        <w:rPr>
          <w:rFonts w:ascii="Times New Roman" w:hAnsi="Times New Roman"/>
          <w:i/>
        </w:rPr>
        <w:t>Undang-Undang</w:t>
      </w:r>
      <w:proofErr w:type="spellEnd"/>
      <w:r w:rsidRPr="004071FD">
        <w:rPr>
          <w:rFonts w:ascii="Times New Roman" w:hAnsi="Times New Roman"/>
          <w:i/>
        </w:rPr>
        <w:t xml:space="preserve"> </w:t>
      </w:r>
      <w:proofErr w:type="spellStart"/>
      <w:r w:rsidRPr="004071FD">
        <w:rPr>
          <w:rFonts w:ascii="Times New Roman" w:hAnsi="Times New Roman"/>
          <w:i/>
        </w:rPr>
        <w:t>Nomor</w:t>
      </w:r>
      <w:proofErr w:type="spellEnd"/>
      <w:r w:rsidRPr="004071FD">
        <w:rPr>
          <w:rFonts w:ascii="Times New Roman" w:hAnsi="Times New Roman"/>
          <w:i/>
        </w:rPr>
        <w:t xml:space="preserve"> 31 </w:t>
      </w:r>
      <w:proofErr w:type="spellStart"/>
      <w:r w:rsidRPr="004071FD">
        <w:rPr>
          <w:rFonts w:ascii="Times New Roman" w:hAnsi="Times New Roman"/>
          <w:i/>
        </w:rPr>
        <w:t>Tahun</w:t>
      </w:r>
      <w:proofErr w:type="spellEnd"/>
      <w:r w:rsidRPr="004071FD">
        <w:rPr>
          <w:rFonts w:ascii="Times New Roman" w:hAnsi="Times New Roman"/>
          <w:i/>
        </w:rPr>
        <w:t xml:space="preserve"> 1999 </w:t>
      </w:r>
      <w:proofErr w:type="spellStart"/>
      <w:r w:rsidRPr="004071FD">
        <w:rPr>
          <w:rFonts w:ascii="Times New Roman" w:hAnsi="Times New Roman"/>
          <w:i/>
        </w:rPr>
        <w:t>tentang</w:t>
      </w:r>
      <w:proofErr w:type="spellEnd"/>
      <w:r w:rsidRPr="004071FD">
        <w:rPr>
          <w:rFonts w:ascii="Times New Roman" w:hAnsi="Times New Roman"/>
          <w:i/>
        </w:rPr>
        <w:t xml:space="preserve"> </w:t>
      </w:r>
      <w:proofErr w:type="spellStart"/>
      <w:r w:rsidRPr="004071FD">
        <w:rPr>
          <w:rFonts w:ascii="Times New Roman" w:hAnsi="Times New Roman"/>
          <w:i/>
        </w:rPr>
        <w:t>Pemberantasan</w:t>
      </w:r>
      <w:proofErr w:type="spellEnd"/>
      <w:r w:rsidRPr="004071FD">
        <w:rPr>
          <w:rFonts w:ascii="Times New Roman" w:hAnsi="Times New Roman"/>
          <w:i/>
        </w:rPr>
        <w:t xml:space="preserve"> </w:t>
      </w:r>
      <w:proofErr w:type="spellStart"/>
      <w:r w:rsidRPr="004071FD">
        <w:rPr>
          <w:rFonts w:ascii="Times New Roman" w:hAnsi="Times New Roman"/>
          <w:i/>
        </w:rPr>
        <w:t>Tindak</w:t>
      </w:r>
      <w:proofErr w:type="spellEnd"/>
      <w:r w:rsidRPr="004071FD">
        <w:rPr>
          <w:rFonts w:ascii="Times New Roman" w:hAnsi="Times New Roman"/>
          <w:i/>
        </w:rPr>
        <w:t xml:space="preserve"> </w:t>
      </w:r>
      <w:proofErr w:type="spellStart"/>
      <w:r w:rsidRPr="004071FD">
        <w:rPr>
          <w:rFonts w:ascii="Times New Roman" w:hAnsi="Times New Roman"/>
          <w:i/>
        </w:rPr>
        <w:t>Pidana</w:t>
      </w:r>
      <w:proofErr w:type="spellEnd"/>
      <w:r w:rsidRPr="004071FD">
        <w:rPr>
          <w:rFonts w:ascii="Times New Roman" w:hAnsi="Times New Roman"/>
          <w:i/>
        </w:rPr>
        <w:t xml:space="preserve"> </w:t>
      </w:r>
      <w:proofErr w:type="spellStart"/>
      <w:r w:rsidRPr="004071FD">
        <w:rPr>
          <w:rFonts w:ascii="Times New Roman" w:hAnsi="Times New Roman"/>
          <w:i/>
        </w:rPr>
        <w:t>Korupsi</w:t>
      </w:r>
      <w:proofErr w:type="spellEnd"/>
      <w:r w:rsidRPr="004071FD">
        <w:rPr>
          <w:rFonts w:ascii="Times New Roman" w:hAnsi="Times New Roman"/>
        </w:rPr>
        <w:t>).</w:t>
      </w:r>
    </w:p>
  </w:endnote>
  <w:endnote w:id="2">
    <w:p w:rsidR="004071FD" w:rsidRPr="004071FD" w:rsidRDefault="004071FD" w:rsidP="00407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id-ID"/>
        </w:rPr>
      </w:pPr>
      <w:r w:rsidRPr="004071FD">
        <w:rPr>
          <w:rStyle w:val="EndnoteReference"/>
          <w:rFonts w:ascii="Times New Roman" w:hAnsi="Times New Roman"/>
          <w:sz w:val="20"/>
          <w:szCs w:val="20"/>
        </w:rPr>
        <w:endnoteRef/>
      </w:r>
      <w:r w:rsidRPr="004071FD">
        <w:rPr>
          <w:rFonts w:ascii="Times New Roman" w:hAnsi="Times New Roman"/>
          <w:sz w:val="20"/>
          <w:szCs w:val="20"/>
        </w:rPr>
        <w:t xml:space="preserve"> </w:t>
      </w:r>
      <w:r w:rsidRPr="004071FD">
        <w:rPr>
          <w:rFonts w:ascii="Times New Roman" w:eastAsiaTheme="minorHAnsi" w:hAnsi="Times New Roman"/>
          <w:sz w:val="20"/>
          <w:szCs w:val="20"/>
          <w:lang w:val="id-ID"/>
        </w:rPr>
        <w:t>Tukar menukar barang milik daerah/tukar guling adala</w:t>
      </w:r>
      <w:r w:rsidRPr="004071FD">
        <w:rPr>
          <w:rFonts w:ascii="Times New Roman" w:eastAsiaTheme="minorHAnsi" w:hAnsi="Times New Roman"/>
          <w:sz w:val="20"/>
          <w:szCs w:val="20"/>
          <w:lang w:val="id-ID"/>
        </w:rPr>
        <w:t xml:space="preserve">h pengalihan kepemilikan barang </w:t>
      </w:r>
      <w:r w:rsidRPr="004071FD">
        <w:rPr>
          <w:rFonts w:ascii="Times New Roman" w:eastAsiaTheme="minorHAnsi" w:hAnsi="Times New Roman"/>
          <w:sz w:val="20"/>
          <w:szCs w:val="20"/>
          <w:lang w:val="id-ID"/>
        </w:rPr>
        <w:t>milik daerah yang dilakukan antara Pemerintah Daerah</w:t>
      </w:r>
      <w:r w:rsidRPr="004071FD">
        <w:rPr>
          <w:rFonts w:ascii="Times New Roman" w:eastAsiaTheme="minorHAnsi" w:hAnsi="Times New Roman"/>
          <w:sz w:val="20"/>
          <w:szCs w:val="20"/>
          <w:lang w:val="id-ID"/>
        </w:rPr>
        <w:t xml:space="preserve"> dengan Pemerintah Pusat, antar </w:t>
      </w:r>
      <w:r w:rsidRPr="004071FD">
        <w:rPr>
          <w:rFonts w:ascii="Times New Roman" w:eastAsiaTheme="minorHAnsi" w:hAnsi="Times New Roman"/>
          <w:sz w:val="20"/>
          <w:szCs w:val="20"/>
          <w:lang w:val="id-ID"/>
        </w:rPr>
        <w:t>Pemerintah Daerah, atau antara Pemerintah D</w:t>
      </w:r>
      <w:r w:rsidRPr="004071FD">
        <w:rPr>
          <w:rFonts w:ascii="Times New Roman" w:eastAsiaTheme="minorHAnsi" w:hAnsi="Times New Roman"/>
          <w:sz w:val="20"/>
          <w:szCs w:val="20"/>
          <w:lang w:val="id-ID"/>
        </w:rPr>
        <w:t xml:space="preserve">aerah dengan pihak lain, dengan menerima penggantiann </w:t>
      </w:r>
      <w:r w:rsidRPr="004071FD">
        <w:rPr>
          <w:rFonts w:ascii="Times New Roman" w:eastAsiaTheme="minorHAnsi" w:hAnsi="Times New Roman"/>
          <w:sz w:val="20"/>
          <w:szCs w:val="20"/>
          <w:lang w:val="id-ID"/>
        </w:rPr>
        <w:t xml:space="preserve">dalam bentuk barang, </w:t>
      </w:r>
      <w:r w:rsidRPr="004071FD">
        <w:rPr>
          <w:rFonts w:ascii="Times New Roman" w:eastAsiaTheme="minorHAnsi" w:hAnsi="Times New Roman"/>
          <w:sz w:val="20"/>
          <w:szCs w:val="20"/>
          <w:lang w:val="id-ID"/>
        </w:rPr>
        <w:t xml:space="preserve">sekurang-kurangnya dengan nilai </w:t>
      </w:r>
      <w:r>
        <w:rPr>
          <w:rFonts w:ascii="Times New Roman" w:eastAsiaTheme="minorHAnsi" w:hAnsi="Times New Roman"/>
          <w:sz w:val="20"/>
          <w:szCs w:val="20"/>
          <w:lang w:val="id-ID"/>
        </w:rPr>
        <w:t xml:space="preserve">seimbang </w:t>
      </w:r>
      <w:r w:rsidRPr="004071FD">
        <w:rPr>
          <w:rFonts w:ascii="Times New Roman" w:eastAsiaTheme="minorHAnsi" w:hAnsi="Times New Roman"/>
          <w:i/>
          <w:sz w:val="20"/>
          <w:szCs w:val="20"/>
          <w:lang w:val="id-ID"/>
        </w:rPr>
        <w:t xml:space="preserve">(Pasal 1 angka 27 </w:t>
      </w:r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>Per</w:t>
      </w:r>
      <w:r w:rsidRPr="004071FD">
        <w:rPr>
          <w:rFonts w:ascii="Times New Roman" w:eastAsia="Times New Roman" w:hAnsi="Times New Roman"/>
          <w:i/>
          <w:sz w:val="20"/>
          <w:szCs w:val="20"/>
          <w:lang w:val="id-ID" w:eastAsia="en-AU"/>
        </w:rPr>
        <w:t>mendagri</w:t>
      </w:r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 xml:space="preserve"> </w:t>
      </w:r>
      <w:proofErr w:type="spellStart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>Nomor</w:t>
      </w:r>
      <w:proofErr w:type="spellEnd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 xml:space="preserve"> 17 </w:t>
      </w:r>
      <w:r w:rsidRPr="004071FD">
        <w:rPr>
          <w:rFonts w:ascii="Times New Roman" w:eastAsia="Times New Roman" w:hAnsi="Times New Roman"/>
          <w:i/>
          <w:sz w:val="20"/>
          <w:szCs w:val="20"/>
          <w:lang w:val="id-ID" w:eastAsia="en-AU"/>
        </w:rPr>
        <w:t xml:space="preserve">Tahun 2007 </w:t>
      </w:r>
      <w:proofErr w:type="spellStart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>tentang</w:t>
      </w:r>
      <w:proofErr w:type="spellEnd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 xml:space="preserve"> </w:t>
      </w:r>
      <w:proofErr w:type="spellStart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>Pedoman</w:t>
      </w:r>
      <w:proofErr w:type="spellEnd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 xml:space="preserve"> </w:t>
      </w:r>
      <w:proofErr w:type="spellStart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>Teknis</w:t>
      </w:r>
      <w:proofErr w:type="spellEnd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 xml:space="preserve"> </w:t>
      </w:r>
      <w:proofErr w:type="spellStart"/>
      <w:r w:rsidRPr="004071FD">
        <w:rPr>
          <w:rFonts w:ascii="Times New Roman" w:eastAsia="Times New Roman" w:hAnsi="Times New Roman"/>
          <w:i/>
          <w:sz w:val="20"/>
          <w:szCs w:val="20"/>
          <w:lang w:val="en-AU" w:eastAsia="en-AU"/>
        </w:rPr>
        <w:t>Pengelolaan</w:t>
      </w:r>
      <w:proofErr w:type="spellEnd"/>
      <w:r w:rsidRPr="004071FD">
        <w:rPr>
          <w:rFonts w:ascii="Times New Roman" w:eastAsia="Times New Roman" w:hAnsi="Times New Roman"/>
          <w:i/>
          <w:sz w:val="20"/>
          <w:szCs w:val="20"/>
          <w:lang w:val="id-ID" w:eastAsia="en-AU"/>
        </w:rPr>
        <w:t xml:space="preserve"> Barang Milik Daerah</w:t>
      </w:r>
      <w:r w:rsidRPr="004071FD">
        <w:rPr>
          <w:rFonts w:ascii="Times New Roman" w:eastAsia="Times New Roman" w:hAnsi="Times New Roman"/>
          <w:i/>
          <w:sz w:val="20"/>
          <w:szCs w:val="20"/>
          <w:lang w:val="id-ID" w:eastAsia="en-AU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55" w:rsidRPr="00EB58AF" w:rsidRDefault="00B10D55" w:rsidP="00EB58AF">
    <w:pPr>
      <w:pStyle w:val="Footer"/>
      <w:pBdr>
        <w:top w:val="single" w:sz="4" w:space="1" w:color="D9D9D9" w:themeColor="background1" w:themeShade="D9"/>
      </w:pBdr>
      <w:rPr>
        <w:rFonts w:ascii="Times New Roman" w:hAnsi="Times New Roman"/>
      </w:rPr>
    </w:pPr>
    <w:r w:rsidRPr="00EB58AF">
      <w:rPr>
        <w:rFonts w:ascii="Times New Roman" w:hAnsi="Times New Roman"/>
        <w:i/>
        <w:lang w:val="id-ID"/>
      </w:rPr>
      <w:t xml:space="preserve">Catatan Berita/BPK Perwakilan Provinsi Sulawesi Tengah </w:t>
    </w:r>
    <w:r w:rsidRPr="00EB58AF">
      <w:rPr>
        <w:rFonts w:ascii="Times New Roman" w:hAnsi="Times New Roman"/>
        <w:lang w:val="id-ID"/>
      </w:rPr>
      <w:tab/>
    </w:r>
    <w:sdt>
      <w:sdtPr>
        <w:rPr>
          <w:rFonts w:ascii="Times New Roman" w:hAnsi="Times New Roman"/>
        </w:rPr>
        <w:id w:val="196276677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EB58AF">
          <w:rPr>
            <w:rFonts w:ascii="Times New Roman" w:hAnsi="Times New Roman"/>
          </w:rPr>
          <w:fldChar w:fldCharType="begin"/>
        </w:r>
        <w:r w:rsidRPr="00EB58AF">
          <w:rPr>
            <w:rFonts w:ascii="Times New Roman" w:hAnsi="Times New Roman"/>
          </w:rPr>
          <w:instrText xml:space="preserve"> PAGE   \* MERGEFORMAT </w:instrText>
        </w:r>
        <w:r w:rsidRPr="00EB58AF">
          <w:rPr>
            <w:rFonts w:ascii="Times New Roman" w:hAnsi="Times New Roman"/>
          </w:rPr>
          <w:fldChar w:fldCharType="separate"/>
        </w:r>
        <w:r w:rsidR="00705A7B">
          <w:rPr>
            <w:rFonts w:ascii="Times New Roman" w:hAnsi="Times New Roman"/>
            <w:noProof/>
          </w:rPr>
          <w:t>1</w:t>
        </w:r>
        <w:r w:rsidRPr="00EB58AF">
          <w:rPr>
            <w:rFonts w:ascii="Times New Roman" w:hAnsi="Times New Roman"/>
            <w:noProof/>
          </w:rPr>
          <w:fldChar w:fldCharType="end"/>
        </w:r>
      </w:sdtContent>
    </w:sdt>
  </w:p>
  <w:p w:rsidR="00B10D55" w:rsidRPr="00EB58AF" w:rsidRDefault="00B10D5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55" w:rsidRDefault="00B10D55" w:rsidP="00EB58AF">
      <w:pPr>
        <w:spacing w:after="0" w:line="240" w:lineRule="auto"/>
      </w:pPr>
      <w:r>
        <w:separator/>
      </w:r>
    </w:p>
  </w:footnote>
  <w:footnote w:type="continuationSeparator" w:id="0">
    <w:p w:rsidR="00B10D55" w:rsidRDefault="00B10D55" w:rsidP="00EB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BB"/>
    <w:multiLevelType w:val="hybridMultilevel"/>
    <w:tmpl w:val="92624F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ACE"/>
    <w:multiLevelType w:val="hybridMultilevel"/>
    <w:tmpl w:val="1C0C566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54C"/>
    <w:multiLevelType w:val="hybridMultilevel"/>
    <w:tmpl w:val="84E82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1FCB"/>
    <w:multiLevelType w:val="hybridMultilevel"/>
    <w:tmpl w:val="E202E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270D"/>
    <w:multiLevelType w:val="hybridMultilevel"/>
    <w:tmpl w:val="C7B4F5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4AD5"/>
    <w:multiLevelType w:val="hybridMultilevel"/>
    <w:tmpl w:val="3F76DB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45FE"/>
    <w:multiLevelType w:val="hybridMultilevel"/>
    <w:tmpl w:val="D62ABC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7083"/>
    <w:multiLevelType w:val="hybridMultilevel"/>
    <w:tmpl w:val="84E82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F"/>
    <w:rsid w:val="00035C64"/>
    <w:rsid w:val="001458FB"/>
    <w:rsid w:val="004071FD"/>
    <w:rsid w:val="00705A7B"/>
    <w:rsid w:val="007E56B5"/>
    <w:rsid w:val="00B10D55"/>
    <w:rsid w:val="00DA619C"/>
    <w:rsid w:val="00E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F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3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A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A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A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35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C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C6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71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71FD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071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F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3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A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A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A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35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C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C6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71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71FD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0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empo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415B-2631-4D9F-97B3-EDC81A4D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2015-03-29T23:27:00Z</dcterms:created>
  <dcterms:modified xsi:type="dcterms:W3CDTF">2015-03-30T01:41:00Z</dcterms:modified>
</cp:coreProperties>
</file>