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14FB4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FB4" w:rsidRPr="00780CC5" w:rsidRDefault="00E14FB4" w:rsidP="00382C9C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FB4" w:rsidRPr="00780CC5" w:rsidRDefault="00E14FB4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4FB4" w:rsidRPr="00780CC5" w:rsidRDefault="00382C9C" w:rsidP="00382C9C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Antara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14FB4" w:rsidRPr="00780CC5" w:rsidRDefault="00E14FB4" w:rsidP="00382C9C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E14FB4" w:rsidRPr="00780CC5" w:rsidRDefault="00E14FB4" w:rsidP="00382C9C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E14FB4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FB4" w:rsidRPr="00780CC5" w:rsidRDefault="00E14FB4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FB4" w:rsidRPr="00780CC5" w:rsidRDefault="00E14FB4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4FB4" w:rsidRPr="00780CC5" w:rsidRDefault="00382C9C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 Desember</w:t>
            </w:r>
            <w:r w:rsidR="00E14FB4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E14FB4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14FB4" w:rsidRPr="00780CC5" w:rsidRDefault="00E14FB4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B4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FB4" w:rsidRPr="00780CC5" w:rsidRDefault="00E14FB4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FB4" w:rsidRPr="00780CC5" w:rsidRDefault="00E14FB4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4FB4" w:rsidRPr="002144C1" w:rsidRDefault="00382C9C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C1">
              <w:rPr>
                <w:rFonts w:ascii="Times New Roman" w:hAnsi="Times New Roman" w:cs="Times New Roman"/>
                <w:sz w:val="24"/>
                <w:szCs w:val="24"/>
              </w:rPr>
              <w:t>Anggota DPRD Kota Palu, Rusman Ramli meminta Pemerintah Kota Palu melakukan penghematan belanja pegawai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14FB4" w:rsidRPr="00780CC5" w:rsidRDefault="00E14FB4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B4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FB4" w:rsidRPr="00780CC5" w:rsidRDefault="00E14FB4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FB4" w:rsidRPr="00780CC5" w:rsidRDefault="00E14FB4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4FB4" w:rsidRPr="00780CC5" w:rsidRDefault="00382C9C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14FB4" w:rsidRPr="00780CC5" w:rsidRDefault="00E14FB4" w:rsidP="00382C9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 w:rsidP="00382C9C">
      <w:pPr>
        <w:jc w:val="both"/>
      </w:pPr>
    </w:p>
    <w:p w:rsidR="00E14FB4" w:rsidRPr="002144C1" w:rsidRDefault="00E14FB4" w:rsidP="00382C9C">
      <w:pPr>
        <w:jc w:val="both"/>
        <w:rPr>
          <w:rFonts w:ascii="Times New Roman" w:hAnsi="Times New Roman" w:cs="Times New Roman"/>
          <w:sz w:val="24"/>
          <w:szCs w:val="24"/>
        </w:rPr>
      </w:pPr>
      <w:r w:rsidRPr="002144C1">
        <w:rPr>
          <w:rFonts w:ascii="Times New Roman" w:hAnsi="Times New Roman" w:cs="Times New Roman"/>
          <w:sz w:val="24"/>
          <w:szCs w:val="24"/>
        </w:rPr>
        <w:t>Palu (antarasulteng.com) – Anggota DPRD Kota Palu,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Rusman Ramli meminta Pemerintah Kota Palu melakukan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penghematan belanja pegawai yang melekat pada setiap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satuan kerja perangkat daerah SKPD).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"Anggaran belanja pegawai sebesar Rp665 miliar dalam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APBD 2015 terbilang sangat besar, karena itu perlu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peng</w:t>
      </w:r>
      <w:bookmarkStart w:id="0" w:name="_GoBack"/>
      <w:bookmarkEnd w:id="0"/>
      <w:r w:rsidRPr="002144C1">
        <w:rPr>
          <w:rFonts w:ascii="Times New Roman" w:hAnsi="Times New Roman" w:cs="Times New Roman"/>
          <w:sz w:val="24"/>
          <w:szCs w:val="24"/>
        </w:rPr>
        <w:t>hematan," kata Rusman Ramli saat dihubungi di Palu,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belum lama ini.</w:t>
      </w:r>
    </w:p>
    <w:p w:rsidR="00E14FB4" w:rsidRPr="002144C1" w:rsidRDefault="00E14FB4" w:rsidP="00382C9C">
      <w:pPr>
        <w:jc w:val="both"/>
        <w:rPr>
          <w:rFonts w:ascii="Times New Roman" w:hAnsi="Times New Roman" w:cs="Times New Roman"/>
          <w:sz w:val="24"/>
          <w:szCs w:val="24"/>
        </w:rPr>
      </w:pPr>
      <w:r w:rsidRPr="002144C1">
        <w:rPr>
          <w:rFonts w:ascii="Times New Roman" w:hAnsi="Times New Roman" w:cs="Times New Roman"/>
          <w:sz w:val="24"/>
          <w:szCs w:val="24"/>
        </w:rPr>
        <w:t>Menurut dia, DPRD telah memberikan syarat kepada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pemkot agar bisa melakukan efisiensi belanja pegawai dan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hasil efisiensi itu dialihkan pada pemanfaatan yang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berkaitan langsung dengan kepentingan masyarakat.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Pemerintah Kota Palu, katanya, juga harus menggali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potensi PAD yang ada pada setiap SKPD. Misalnya pajak,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retribusi, dan sebagainya.</w:t>
      </w:r>
    </w:p>
    <w:p w:rsidR="00E14FB4" w:rsidRPr="002144C1" w:rsidRDefault="00E14FB4" w:rsidP="00382C9C">
      <w:pPr>
        <w:jc w:val="both"/>
        <w:rPr>
          <w:rFonts w:ascii="Times New Roman" w:hAnsi="Times New Roman" w:cs="Times New Roman"/>
          <w:sz w:val="24"/>
          <w:szCs w:val="24"/>
        </w:rPr>
      </w:pPr>
      <w:r w:rsidRPr="002144C1">
        <w:rPr>
          <w:rFonts w:ascii="Times New Roman" w:hAnsi="Times New Roman" w:cs="Times New Roman"/>
          <w:sz w:val="24"/>
          <w:szCs w:val="24"/>
        </w:rPr>
        <w:t>Terkait penyediaan mobil dinas bagi seluruh anggota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DPRD dengan system sewa, Rusman mengatakan perlu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melihat postur APBD Kota Palu, meskipun hal tersebut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terbilang penting bagi penyediaan fasilitas bagi anggota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DPRD.</w:t>
      </w:r>
    </w:p>
    <w:p w:rsidR="00E14FB4" w:rsidRPr="002144C1" w:rsidRDefault="00E14FB4" w:rsidP="00382C9C">
      <w:pPr>
        <w:jc w:val="both"/>
        <w:rPr>
          <w:rFonts w:ascii="Times New Roman" w:hAnsi="Times New Roman" w:cs="Times New Roman"/>
          <w:sz w:val="24"/>
          <w:szCs w:val="24"/>
        </w:rPr>
      </w:pPr>
      <w:r w:rsidRPr="002144C1">
        <w:rPr>
          <w:rFonts w:ascii="Times New Roman" w:hAnsi="Times New Roman" w:cs="Times New Roman"/>
          <w:sz w:val="24"/>
          <w:szCs w:val="24"/>
        </w:rPr>
        <w:t>"Kalau kita membeli mobil baru bagi seluruh anggota bisa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menelan anggaran sebesar Rp8 miliar. Kalau kita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menyewa hanya Rp250 juta pertahun, jadi lebih murah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menyewa. Tapi kita tetap melihat kemampuan APBD kita,"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katanya.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APBD Kota Palu 2015 sebesar Rp1,188 triliun terdiri atas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belanja tidak langsung sebanyak Rp720 miliar berupa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belanja pegawai sebesar Rp665 miliar, belanja bunga Rp7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miliar, selanjutanya belanja hibah sebesar Rp37 miliar,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belanja bantuan sosial Rp6 miliar, serta belanja tidak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terduga sebesar Rp2 miliar.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Sementara belanja langsung sebesar Rp468 miliar yang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terdiri dari belanja pegawai sebesar Rp59 miliar, belanja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barang dan jasa sebanyak Rp271 miliar, dan belanja</w:t>
      </w:r>
      <w:r w:rsidR="00382C9C" w:rsidRPr="002144C1">
        <w:rPr>
          <w:rFonts w:ascii="Times New Roman" w:hAnsi="Times New Roman" w:cs="Times New Roman"/>
          <w:sz w:val="24"/>
          <w:szCs w:val="24"/>
        </w:rPr>
        <w:t xml:space="preserve"> </w:t>
      </w:r>
      <w:r w:rsidRPr="002144C1">
        <w:rPr>
          <w:rFonts w:ascii="Times New Roman" w:hAnsi="Times New Roman" w:cs="Times New Roman"/>
          <w:sz w:val="24"/>
          <w:szCs w:val="24"/>
        </w:rPr>
        <w:t>modal sebanyak Rp137 miliar. (Yuni)</w:t>
      </w:r>
    </w:p>
    <w:sectPr w:rsidR="00E14FB4" w:rsidRPr="0021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4"/>
    <w:rsid w:val="002144C1"/>
    <w:rsid w:val="00382C9C"/>
    <w:rsid w:val="00C628BA"/>
    <w:rsid w:val="00E1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F1839-DA13-415B-9901-DC03FD2F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2014-12-04T01:41:00Z</dcterms:created>
  <dcterms:modified xsi:type="dcterms:W3CDTF">2014-12-04T23:38:00Z</dcterms:modified>
</cp:coreProperties>
</file>