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D3CCF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CCF" w:rsidRPr="00780CC5" w:rsidRDefault="00FD3CCF" w:rsidP="00F45B5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3CCF" w:rsidRPr="00780CC5" w:rsidRDefault="00772455" w:rsidP="00F45B5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Antara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3CCF" w:rsidRPr="00780CC5" w:rsidRDefault="00FD3CCF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D3CCF" w:rsidRPr="00780CC5" w:rsidRDefault="00FD3CCF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D3CCF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3CCF" w:rsidRPr="00780CC5" w:rsidRDefault="00772455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 9 Desember</w:t>
            </w:r>
            <w:r w:rsidR="00FD3CCF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FD3CCF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CCF" w:rsidRPr="00780CC5" w:rsidTr="00F45B5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3CCF" w:rsidRPr="006619C3" w:rsidRDefault="00772455" w:rsidP="00661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619C3">
              <w:rPr>
                <w:rFonts w:ascii="Times New Roman" w:hAnsi="Times New Roman" w:cs="Times New Roman"/>
                <w:sz w:val="24"/>
                <w:szCs w:val="24"/>
              </w:rPr>
              <w:t xml:space="preserve">Satu lagi tersangka dugaan korupsi pencetakan sawah baru ditahan </w:t>
            </w:r>
            <w:r w:rsidR="006619C3" w:rsidRPr="006619C3">
              <w:rPr>
                <w:rFonts w:ascii="Times New Roman" w:hAnsi="Times New Roman" w:cs="Times New Roman"/>
                <w:sz w:val="24"/>
                <w:szCs w:val="24"/>
              </w:rPr>
              <w:t>Kejari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CCF" w:rsidRPr="00780CC5" w:rsidTr="00F45B5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3CCF" w:rsidRPr="00780CC5" w:rsidRDefault="00772455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D3CCF" w:rsidRPr="00780CC5" w:rsidRDefault="00FD3CCF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0FB" w:rsidRDefault="001E60FB"/>
    <w:p w:rsidR="00FD3CCF" w:rsidRDefault="00FD3CCF" w:rsidP="00772455">
      <w:pPr>
        <w:jc w:val="both"/>
      </w:pPr>
      <w:r>
        <w:t>Satu Lagi Tersangka Korupsi Ditahan Kejari Tolitoli</w:t>
      </w:r>
      <w:r w:rsidR="00772455">
        <w:t xml:space="preserve"> </w:t>
      </w:r>
      <w:r>
        <w:t>Selasa, 9 Desember 2014 21:32 WIB</w:t>
      </w:r>
      <w:r w:rsidR="00772455">
        <w:t xml:space="preserve"> </w:t>
      </w:r>
      <w:r>
        <w:t>Mahdi Rumi</w:t>
      </w:r>
      <w:r w:rsidR="00772455">
        <w:t xml:space="preserve"> </w:t>
      </w:r>
      <w:r>
        <w:t>Tolitoli (antarasulteng.com) - Satu lagi tersangka dugaan</w:t>
      </w:r>
      <w:r w:rsidR="00772455">
        <w:t xml:space="preserve"> </w:t>
      </w:r>
      <w:r>
        <w:t>korupsi pencetakan sawah baru di Tolitoli ditahan Kejak</w:t>
      </w:r>
      <w:r w:rsidR="00772455">
        <w:t xml:space="preserve"> </w:t>
      </w:r>
      <w:r>
        <w:t>Negeri Tolitoli, Selasa sore.</w:t>
      </w:r>
      <w:r w:rsidR="00772455">
        <w:t xml:space="preserve"> </w:t>
      </w:r>
      <w:r>
        <w:t>Dia adalah Saharudin dari CV. Wira Mandiri Desa Topoyo,</w:t>
      </w:r>
      <w:r w:rsidR="00772455">
        <w:t xml:space="preserve"> </w:t>
      </w:r>
      <w:r>
        <w:t>Kecamatan Topoyo Mamuju Utara, Sulawesi Barat selaku</w:t>
      </w:r>
      <w:r w:rsidR="00772455">
        <w:t xml:space="preserve"> </w:t>
      </w:r>
      <w:r>
        <w:t>mitra kerja kelompok tani Desa Salugan Kecamatan</w:t>
      </w:r>
      <w:r w:rsidR="00772455">
        <w:t xml:space="preserve"> </w:t>
      </w:r>
      <w:r>
        <w:t>Lampasio, olitoli, yang menjadi pusat pelaksanaan proyek</w:t>
      </w:r>
      <w:r w:rsidR="00772455">
        <w:t xml:space="preserve"> </w:t>
      </w:r>
      <w:r>
        <w:t>pencetakan sawah baru pada 2013.</w:t>
      </w:r>
    </w:p>
    <w:p w:rsidR="00FD3CCF" w:rsidRDefault="00FD3CCF" w:rsidP="00772455">
      <w:pPr>
        <w:jc w:val="both"/>
      </w:pPr>
      <w:r>
        <w:t>Kajari Tolitoli Hendri Nainggolan mengatakan Saharudin</w:t>
      </w:r>
      <w:r w:rsidR="00772455">
        <w:t xml:space="preserve"> </w:t>
      </w:r>
      <w:r>
        <w:t>dalam kasus ini sesuai kontrak kerja dengan</w:t>
      </w:r>
      <w:r w:rsidR="00772455">
        <w:t xml:space="preserve"> k</w:t>
      </w:r>
      <w:r>
        <w:t>elompok tani</w:t>
      </w:r>
      <w:r w:rsidR="00772455">
        <w:t xml:space="preserve"> </w:t>
      </w:r>
      <w:r>
        <w:t>seharusnya mengerjakan 75 hektare sawah baru. Namun</w:t>
      </w:r>
      <w:r w:rsidR="00772455">
        <w:t xml:space="preserve"> </w:t>
      </w:r>
      <w:r>
        <w:t>fakta di lapangan pekerjaan ini tidak sepenuhnya</w:t>
      </w:r>
      <w:r w:rsidR="00772455">
        <w:t xml:space="preserve"> </w:t>
      </w:r>
      <w:r>
        <w:t>dilaksanakan.</w:t>
      </w:r>
    </w:p>
    <w:p w:rsidR="00FD3CCF" w:rsidRDefault="00FD3CCF" w:rsidP="00772455">
      <w:pPr>
        <w:jc w:val="both"/>
      </w:pPr>
      <w:r>
        <w:t>Saharudin datang memenuhi panggilan jaksa penyidik</w:t>
      </w:r>
      <w:r w:rsidR="00772455">
        <w:t xml:space="preserve"> </w:t>
      </w:r>
      <w:r>
        <w:t>Kejaksaan Negeri Tolitoli setelah sebelumnya sudah</w:t>
      </w:r>
      <w:r w:rsidR="00772455">
        <w:t xml:space="preserve"> </w:t>
      </w:r>
      <w:r>
        <w:t>pernah diperiksa sebaga saksi atas tersangka Efrain.</w:t>
      </w:r>
      <w:r w:rsidR="00772455">
        <w:t xml:space="preserve"> </w:t>
      </w:r>
      <w:r>
        <w:t>Efrain adalah pejabat pembuat komitmen yang</w:t>
      </w:r>
      <w:r w:rsidR="00772455">
        <w:t xml:space="preserve"> </w:t>
      </w:r>
      <w:r>
        <w:t>sebelumnya juga sudah ditahan penyidik pada Senin</w:t>
      </w:r>
      <w:r w:rsidR="00772455">
        <w:t xml:space="preserve"> </w:t>
      </w:r>
      <w:r>
        <w:t>(8/12) sore. Efrain kini ditahan di lembaga pemasyarakatan</w:t>
      </w:r>
      <w:r w:rsidR="00772455">
        <w:t xml:space="preserve"> </w:t>
      </w:r>
      <w:r>
        <w:t>kelas II Tambun.</w:t>
      </w:r>
      <w:r w:rsidR="00772455">
        <w:t xml:space="preserve"> </w:t>
      </w:r>
      <w:r>
        <w:t>Efraim diduga terlibat penyalahgunaan dana bansos</w:t>
      </w:r>
      <w:r w:rsidR="00772455">
        <w:t xml:space="preserve"> </w:t>
      </w:r>
      <w:r>
        <w:t>perluasan sawah tahun 2013 dengan pagu anggaran Rp5</w:t>
      </w:r>
      <w:r w:rsidR="00772455">
        <w:t xml:space="preserve"> </w:t>
      </w:r>
      <w:r>
        <w:t>miliar. Dugaan kerugian negara sekitar Rp300 juta.</w:t>
      </w:r>
    </w:p>
    <w:p w:rsidR="00FD3CCF" w:rsidRDefault="00FD3CCF" w:rsidP="00772455">
      <w:pPr>
        <w:jc w:val="both"/>
      </w:pPr>
      <w:r>
        <w:t>Sementara itu Saharudin diperiksa penyidik sebagai</w:t>
      </w:r>
      <w:r w:rsidR="00772455">
        <w:t xml:space="preserve"> </w:t>
      </w:r>
      <w:r>
        <w:t>tersangka sekitar tujuh jam dan langsung ditahan</w:t>
      </w:r>
      <w:r w:rsidR="00772455">
        <w:t xml:space="preserve"> </w:t>
      </w:r>
      <w:r>
        <w:t>selanjutnya dibawa ke lapas Tambun menggunakan mobil</w:t>
      </w:r>
      <w:r w:rsidR="00772455">
        <w:t xml:space="preserve"> </w:t>
      </w:r>
      <w:r>
        <w:t>tahanan kejaksaan.</w:t>
      </w:r>
      <w:r w:rsidR="00772455">
        <w:t xml:space="preserve"> </w:t>
      </w:r>
      <w:r>
        <w:t>Henri Nainggolan mengtakan dalam kasus ini sedikitnya</w:t>
      </w:r>
      <w:r w:rsidR="00772455">
        <w:t xml:space="preserve"> </w:t>
      </w:r>
      <w:r>
        <w:t>terdapat lima orang yang diduga terlibat,.</w:t>
      </w:r>
    </w:p>
    <w:p w:rsidR="00FD3CCF" w:rsidRDefault="00FD3CCF" w:rsidP="00772455">
      <w:pPr>
        <w:jc w:val="both"/>
      </w:pPr>
      <w:r>
        <w:t>"Kemarin kan sudah kita tahan Efrain sebaga Pejabat</w:t>
      </w:r>
      <w:r w:rsidR="00772455">
        <w:t xml:space="preserve"> </w:t>
      </w:r>
      <w:r>
        <w:t>Pembuat Komitmen dan beliau ini berperan besar dalam</w:t>
      </w:r>
      <w:r w:rsidR="00772455">
        <w:t xml:space="preserve"> </w:t>
      </w:r>
      <w:r>
        <w:t>kasus ini. Sekarang kita tahan satu lagi dari mitra kerja</w:t>
      </w:r>
      <w:r w:rsidR="00772455">
        <w:t xml:space="preserve"> </w:t>
      </w:r>
      <w:r>
        <w:t>kelompok tani. Sementara masih ada beberapa orang</w:t>
      </w:r>
      <w:r w:rsidR="00772455">
        <w:t xml:space="preserve"> </w:t>
      </w:r>
      <w:r>
        <w:t>lainnya yang kita tunggu," katanya.***</w:t>
      </w:r>
    </w:p>
    <w:sectPr w:rsidR="00FD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F"/>
    <w:rsid w:val="001E60FB"/>
    <w:rsid w:val="006619C3"/>
    <w:rsid w:val="00772455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B0F42-9847-4AC2-8229-9006262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2014-12-11T01:24:00Z</dcterms:created>
  <dcterms:modified xsi:type="dcterms:W3CDTF">2014-12-11T07:04:00Z</dcterms:modified>
</cp:coreProperties>
</file>