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8E" w:rsidRDefault="004E618E" w:rsidP="004E6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E618E" w:rsidRPr="00FF2014" w:rsidTr="00332FA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18E" w:rsidRPr="00A11E73" w:rsidRDefault="004E618E" w:rsidP="00332FA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18E" w:rsidRPr="00F53AFE" w:rsidRDefault="004E618E" w:rsidP="00332FA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E618E" w:rsidRPr="003F4A07" w:rsidRDefault="004E618E" w:rsidP="00332FA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4E618E" w:rsidRPr="00BD078C" w:rsidRDefault="004E618E" w:rsidP="00332FA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CA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4E618E" w:rsidTr="00332FA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18E" w:rsidRPr="00381647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  November 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8E" w:rsidTr="00332FA7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18E" w:rsidRPr="000B7A9A" w:rsidRDefault="004E618E" w:rsidP="004E618E">
            <w:pPr>
              <w:spacing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Pendistribusian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Hibah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diduga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Menyimpang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8E" w:rsidTr="00332FA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18E" w:rsidRPr="00DD341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E618E" w:rsidRDefault="004E618E" w:rsidP="00332F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18E" w:rsidRDefault="004E618E" w:rsidP="004E6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18E" w:rsidRDefault="004E618E" w:rsidP="004E6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55366">
        <w:rPr>
          <w:rFonts w:ascii="Times New Roman" w:eastAsia="Times New Roman" w:hAnsi="Times New Roman" w:cs="Times New Roman"/>
        </w:rPr>
        <w:t>Selain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soal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perbedaan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jumlah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dalam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lampiran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Perbup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tersebut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tanpa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daftar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ditemukan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pula </w:t>
      </w:r>
      <w:proofErr w:type="spellStart"/>
      <w:r w:rsidRPr="00055366">
        <w:rPr>
          <w:rFonts w:ascii="Times New Roman" w:eastAsia="Times New Roman" w:hAnsi="Times New Roman" w:cs="Times New Roman"/>
        </w:rPr>
        <w:t>sejumlah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penyimpangan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dalam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pendistribusian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kepada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masyarakat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r w:rsidRPr="00055366">
        <w:rPr>
          <w:rFonts w:ascii="Times New Roman" w:eastAsia="Times New Roman" w:hAnsi="Times New Roman" w:cs="Times New Roman"/>
        </w:rPr>
        <w:br/>
        <w:t xml:space="preserve">Tim </w:t>
      </w:r>
      <w:proofErr w:type="spellStart"/>
      <w:r w:rsidRPr="00055366">
        <w:rPr>
          <w:rFonts w:ascii="Times New Roman" w:eastAsia="Times New Roman" w:hAnsi="Times New Roman" w:cs="Times New Roman"/>
        </w:rPr>
        <w:t>hukum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pasangan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calon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bupati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wakil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bupati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Banggai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Nasrum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Febrianto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menyebutkan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hingga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Oktober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2015, </w:t>
      </w:r>
      <w:proofErr w:type="spellStart"/>
      <w:r w:rsidRPr="00055366">
        <w:rPr>
          <w:rFonts w:ascii="Times New Roman" w:eastAsia="Times New Roman" w:hAnsi="Times New Roman" w:cs="Times New Roman"/>
        </w:rPr>
        <w:t>sampel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hasil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temuan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lapangan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menunjukan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adanya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dugaan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penyimpangan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dalam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pendistribusian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Kecamatan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Toili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Kecamatan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Moilong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r w:rsidRPr="00055366">
        <w:rPr>
          <w:rFonts w:ascii="Times New Roman" w:eastAsia="Times New Roman" w:hAnsi="Times New Roman" w:cs="Times New Roman"/>
        </w:rPr>
        <w:br/>
      </w:r>
    </w:p>
    <w:p w:rsidR="004E618E" w:rsidRDefault="004E618E" w:rsidP="004E6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Diuraikan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hanya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diterima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sebahagian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seperti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Kecamatan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Moilong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proofErr w:type="gram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Berdasarkan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pengakuan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pengurus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salah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satu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Panti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Asuhan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Desa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Agra </w:t>
      </w:r>
      <w:proofErr w:type="spellStart"/>
      <w:r w:rsidRPr="00055366">
        <w:rPr>
          <w:rFonts w:ascii="Times New Roman" w:eastAsia="Times New Roman" w:hAnsi="Times New Roman" w:cs="Times New Roman"/>
        </w:rPr>
        <w:t>Kencana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dari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total </w:t>
      </w:r>
      <w:proofErr w:type="spellStart"/>
      <w:r w:rsidRPr="00055366">
        <w:rPr>
          <w:rFonts w:ascii="Times New Roman" w:eastAsia="Times New Roman" w:hAnsi="Times New Roman" w:cs="Times New Roman"/>
        </w:rPr>
        <w:t>Rp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. 65.500.000 </w:t>
      </w:r>
      <w:proofErr w:type="spellStart"/>
      <w:r w:rsidRPr="00055366">
        <w:rPr>
          <w:rFonts w:ascii="Times New Roman" w:eastAsia="Times New Roman" w:hAnsi="Times New Roman" w:cs="Times New Roman"/>
        </w:rPr>
        <w:t>nilai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berhak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diterima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Dinas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Sosial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terdiri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atas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ranjang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susun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kasur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kapuk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lemari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pakaian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peralatan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menjahit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sound system, </w:t>
      </w:r>
      <w:proofErr w:type="spellStart"/>
      <w:r w:rsidRPr="00055366">
        <w:rPr>
          <w:rFonts w:ascii="Times New Roman" w:eastAsia="Times New Roman" w:hAnsi="Times New Roman" w:cs="Times New Roman"/>
        </w:rPr>
        <w:t>peralatan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sekolah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Kipas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Angin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Tempel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sebagaimana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tercantum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dalam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Lampiran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III.a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APBD </w:t>
      </w:r>
      <w:proofErr w:type="spellStart"/>
      <w:r w:rsidRPr="00055366">
        <w:rPr>
          <w:rFonts w:ascii="Times New Roman" w:eastAsia="Times New Roman" w:hAnsi="Times New Roman" w:cs="Times New Roman"/>
        </w:rPr>
        <w:t>Banggai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2015. </w:t>
      </w:r>
      <w:r w:rsidRPr="00055366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Panti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asuhan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hanya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berupa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peralatan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menjahit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sound system </w:t>
      </w:r>
      <w:proofErr w:type="spellStart"/>
      <w:r w:rsidRPr="00055366">
        <w:rPr>
          <w:rFonts w:ascii="Times New Roman" w:eastAsia="Times New Roman" w:hAnsi="Times New Roman" w:cs="Times New Roman"/>
        </w:rPr>
        <w:t>senilai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Rp</w:t>
      </w:r>
      <w:proofErr w:type="spellEnd"/>
      <w:r w:rsidRPr="00055366">
        <w:rPr>
          <w:rFonts w:ascii="Times New Roman" w:eastAsia="Times New Roman" w:hAnsi="Times New Roman" w:cs="Times New Roman"/>
        </w:rPr>
        <w:t>. 20.000.000.</w:t>
      </w:r>
      <w:proofErr w:type="gramEnd"/>
      <w:r w:rsidRPr="00055366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055366">
        <w:rPr>
          <w:rFonts w:ascii="Times New Roman" w:eastAsia="Times New Roman" w:hAnsi="Times New Roman" w:cs="Times New Roman"/>
        </w:rPr>
        <w:t>Dengan</w:t>
      </w:r>
      <w:proofErr w:type="spellEnd"/>
      <w:proofErr w:type="gramStart"/>
      <w:r w:rsidRPr="00055366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055366">
        <w:rPr>
          <w:rFonts w:ascii="Times New Roman" w:eastAsia="Times New Roman" w:hAnsi="Times New Roman" w:cs="Times New Roman"/>
        </w:rPr>
        <w:t>demikian</w:t>
      </w:r>
      <w:proofErr w:type="spellEnd"/>
      <w:proofErr w:type="gram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masih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tidak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diterima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senilai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Rp</w:t>
      </w:r>
      <w:proofErr w:type="spellEnd"/>
      <w:r w:rsidRPr="00055366">
        <w:rPr>
          <w:rFonts w:ascii="Times New Roman" w:eastAsia="Times New Roman" w:hAnsi="Times New Roman" w:cs="Times New Roman"/>
        </w:rPr>
        <w:t>. 40.500.000.</w:t>
      </w:r>
      <w:r w:rsidRPr="00055366">
        <w:rPr>
          <w:rFonts w:ascii="Times New Roman" w:eastAsia="Times New Roman" w:hAnsi="Times New Roman" w:cs="Times New Roman"/>
        </w:rPr>
        <w:br/>
      </w:r>
    </w:p>
    <w:p w:rsidR="004E618E" w:rsidRDefault="004E618E" w:rsidP="004E6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55366">
        <w:rPr>
          <w:rFonts w:ascii="Times New Roman" w:eastAsia="Times New Roman" w:hAnsi="Times New Roman" w:cs="Times New Roman"/>
        </w:rPr>
        <w:t>Sedangkan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Kecamatan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Toili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berdasarkan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pengakuan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pengurus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salah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satu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Panti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Asuhan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Desa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Piondo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dari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total Rp.12,750,000 </w:t>
      </w:r>
      <w:proofErr w:type="spellStart"/>
      <w:r w:rsidRPr="00055366">
        <w:rPr>
          <w:rFonts w:ascii="Times New Roman" w:eastAsia="Times New Roman" w:hAnsi="Times New Roman" w:cs="Times New Roman"/>
        </w:rPr>
        <w:t>nilai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berhak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diterima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Dinas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Sosial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terdiri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atas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ranjang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susun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kasur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kapuk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Kipas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Angin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Tempel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sebagaimana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tercantum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dalam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Lampiran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III.a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APBD </w:t>
      </w:r>
      <w:proofErr w:type="spellStart"/>
      <w:r w:rsidRPr="00055366">
        <w:rPr>
          <w:rFonts w:ascii="Times New Roman" w:eastAsia="Times New Roman" w:hAnsi="Times New Roman" w:cs="Times New Roman"/>
        </w:rPr>
        <w:t>Banggai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2015, </w:t>
      </w:r>
      <w:proofErr w:type="spellStart"/>
      <w:r w:rsidRPr="00055366">
        <w:rPr>
          <w:rFonts w:ascii="Times New Roman" w:eastAsia="Times New Roman" w:hAnsi="Times New Roman" w:cs="Times New Roman"/>
        </w:rPr>
        <w:t>panti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asuhan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hanya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berupa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ranjang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susun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senilai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Rp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. 8.125.000. </w:t>
      </w:r>
      <w:r w:rsidRPr="00055366">
        <w:rPr>
          <w:rFonts w:ascii="Times New Roman" w:eastAsia="Times New Roman" w:hAnsi="Times New Roman" w:cs="Times New Roman"/>
        </w:rPr>
        <w:br/>
      </w:r>
    </w:p>
    <w:p w:rsidR="004E618E" w:rsidRDefault="004E618E" w:rsidP="004E6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Selain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belum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diterima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ada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pula </w:t>
      </w:r>
      <w:proofErr w:type="spellStart"/>
      <w:r w:rsidRPr="00055366">
        <w:rPr>
          <w:rFonts w:ascii="Times New Roman" w:eastAsia="Times New Roman" w:hAnsi="Times New Roman" w:cs="Times New Roman"/>
        </w:rPr>
        <w:t>jenis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tidak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sesuai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dengan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aturan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sebagaimana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Lampiran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III.a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APBD </w:t>
      </w:r>
      <w:proofErr w:type="spellStart"/>
      <w:r w:rsidRPr="00055366">
        <w:rPr>
          <w:rFonts w:ascii="Times New Roman" w:eastAsia="Times New Roman" w:hAnsi="Times New Roman" w:cs="Times New Roman"/>
        </w:rPr>
        <w:t>Banggai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2015.</w:t>
      </w:r>
      <w:proofErr w:type="gram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55366">
        <w:rPr>
          <w:rFonts w:ascii="Times New Roman" w:eastAsia="Times New Roman" w:hAnsi="Times New Roman" w:cs="Times New Roman"/>
        </w:rPr>
        <w:t xml:space="preserve">Tim </w:t>
      </w:r>
      <w:proofErr w:type="spellStart"/>
      <w:r w:rsidRPr="00055366">
        <w:rPr>
          <w:rFonts w:ascii="Times New Roman" w:eastAsia="Times New Roman" w:hAnsi="Times New Roman" w:cs="Times New Roman"/>
        </w:rPr>
        <w:t>hukum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berdasarkan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temuan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lapangan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terungkap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bahwa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Dinas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Kelautan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Perikanan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Kabupaten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Banggai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menyalurkan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berbeda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dengan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telah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ditetapkan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dalam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Lampiran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III.a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APBD 2015, </w:t>
      </w:r>
      <w:proofErr w:type="spellStart"/>
      <w:r w:rsidRPr="00055366">
        <w:rPr>
          <w:rFonts w:ascii="Times New Roman" w:eastAsia="Times New Roman" w:hAnsi="Times New Roman" w:cs="Times New Roman"/>
        </w:rPr>
        <w:t>yakni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Kecamatan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Lamala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Desa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Bonebakal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Lomba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proofErr w:type="gramEnd"/>
      <w:r w:rsidRPr="00055366">
        <w:rPr>
          <w:rFonts w:ascii="Times New Roman" w:eastAsia="Times New Roman" w:hAnsi="Times New Roman" w:cs="Times New Roman"/>
        </w:rPr>
        <w:br/>
        <w:t>“</w:t>
      </w: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berupa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mesin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kantinting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merk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Yanmar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TS 230 (23 PK)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Tali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Rumpon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peralatan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nelayan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lainnya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proofErr w:type="gram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Sementara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Desa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Poroan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berupa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Tali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Tali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Rumpon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peralatan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nelayan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lainnya</w:t>
      </w:r>
      <w:proofErr w:type="spellEnd"/>
      <w:r w:rsidRPr="00055366">
        <w:rPr>
          <w:rFonts w:ascii="Times New Roman" w:eastAsia="Times New Roman" w:hAnsi="Times New Roman" w:cs="Times New Roman"/>
        </w:rPr>
        <w:t>.”</w:t>
      </w:r>
      <w:proofErr w:type="gramEnd"/>
      <w:r w:rsidRPr="00055366">
        <w:rPr>
          <w:rFonts w:ascii="Times New Roman" w:eastAsia="Times New Roman" w:hAnsi="Times New Roman" w:cs="Times New Roman"/>
        </w:rPr>
        <w:br/>
      </w:r>
    </w:p>
    <w:p w:rsidR="004E618E" w:rsidRDefault="004E618E" w:rsidP="004E6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Selanjutnya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diduga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fiktif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terungkap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berdasarkan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penuturan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salah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seorang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pemangku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desa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setempat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Kecamatan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Toili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proofErr w:type="gram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bersangkutan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menuturkan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bahwa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nama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salah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satu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KUD yang </w:t>
      </w:r>
      <w:proofErr w:type="spellStart"/>
      <w:r w:rsidRPr="00055366">
        <w:rPr>
          <w:rFonts w:ascii="Times New Roman" w:eastAsia="Times New Roman" w:hAnsi="Times New Roman" w:cs="Times New Roman"/>
        </w:rPr>
        <w:t>beralamat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Desa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Cendana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Pura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sebagaimana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tercantum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dalam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Lampiran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III.a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APBD </w:t>
      </w:r>
      <w:proofErr w:type="spellStart"/>
      <w:r w:rsidRPr="00055366">
        <w:rPr>
          <w:rFonts w:ascii="Times New Roman" w:eastAsia="Times New Roman" w:hAnsi="Times New Roman" w:cs="Times New Roman"/>
        </w:rPr>
        <w:t>Banggai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2015 </w:t>
      </w:r>
      <w:proofErr w:type="spellStart"/>
      <w:r w:rsidRPr="00055366">
        <w:rPr>
          <w:rFonts w:ascii="Times New Roman" w:eastAsia="Times New Roman" w:hAnsi="Times New Roman" w:cs="Times New Roman"/>
        </w:rPr>
        <w:t>dengan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nilai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sebesar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Rp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. 30.000.000 </w:t>
      </w:r>
      <w:proofErr w:type="spellStart"/>
      <w:r w:rsidRPr="00055366">
        <w:rPr>
          <w:rFonts w:ascii="Times New Roman" w:eastAsia="Times New Roman" w:hAnsi="Times New Roman" w:cs="Times New Roman"/>
        </w:rPr>
        <w:t>dari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Dinas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Koperasi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UKM, </w:t>
      </w:r>
      <w:proofErr w:type="spellStart"/>
      <w:r w:rsidRPr="00055366">
        <w:rPr>
          <w:rFonts w:ascii="Times New Roman" w:eastAsia="Times New Roman" w:hAnsi="Times New Roman" w:cs="Times New Roman"/>
        </w:rPr>
        <w:t>tidak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dikenal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tidak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terdata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55366">
        <w:rPr>
          <w:rFonts w:ascii="Times New Roman" w:eastAsia="Times New Roman" w:hAnsi="Times New Roman" w:cs="Times New Roman"/>
        </w:rPr>
        <w:t>desa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setempat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r w:rsidRPr="00055366">
        <w:rPr>
          <w:rFonts w:ascii="Times New Roman" w:eastAsia="Times New Roman" w:hAnsi="Times New Roman" w:cs="Times New Roman"/>
        </w:rPr>
        <w:br/>
      </w:r>
    </w:p>
    <w:p w:rsidR="004E618E" w:rsidRPr="00055366" w:rsidRDefault="004E618E" w:rsidP="004E6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55366">
        <w:rPr>
          <w:rFonts w:ascii="Times New Roman" w:eastAsia="Times New Roman" w:hAnsi="Times New Roman" w:cs="Times New Roman"/>
        </w:rPr>
        <w:t>Setidaknya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di 11 </w:t>
      </w:r>
      <w:proofErr w:type="spellStart"/>
      <w:r w:rsidRPr="00055366">
        <w:rPr>
          <w:rFonts w:ascii="Times New Roman" w:eastAsia="Times New Roman" w:hAnsi="Times New Roman" w:cs="Times New Roman"/>
        </w:rPr>
        <w:t>kecamatan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penerima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pada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Dinas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Pertambangan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Energi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tidak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jelas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55366">
        <w:rPr>
          <w:rFonts w:ascii="Times New Roman" w:eastAsia="Times New Roman" w:hAnsi="Times New Roman" w:cs="Times New Roman"/>
        </w:rPr>
        <w:t>nama</w:t>
      </w:r>
      <w:proofErr w:type="spellEnd"/>
      <w:proofErr w:type="gram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organisasinya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tidak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jelas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pula </w:t>
      </w:r>
      <w:proofErr w:type="spellStart"/>
      <w:r w:rsidRPr="00055366">
        <w:rPr>
          <w:rFonts w:ascii="Times New Roman" w:eastAsia="Times New Roman" w:hAnsi="Times New Roman" w:cs="Times New Roman"/>
        </w:rPr>
        <w:t>mengenai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legalitas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organisasi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penerima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  <w:r w:rsidRPr="00055366">
        <w:rPr>
          <w:rFonts w:ascii="Times New Roman" w:eastAsia="Times New Roman" w:hAnsi="Times New Roman" w:cs="Times New Roman"/>
        </w:rPr>
        <w:br/>
        <w:t xml:space="preserve">Tim </w:t>
      </w:r>
      <w:proofErr w:type="spellStart"/>
      <w:r w:rsidRPr="00055366">
        <w:rPr>
          <w:rFonts w:ascii="Times New Roman" w:eastAsia="Times New Roman" w:hAnsi="Times New Roman" w:cs="Times New Roman"/>
        </w:rPr>
        <w:t>hukum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berpendapat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5366">
        <w:rPr>
          <w:rFonts w:ascii="Times New Roman" w:eastAsia="Times New Roman" w:hAnsi="Times New Roman" w:cs="Times New Roman"/>
        </w:rPr>
        <w:t>sampel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temuan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lapangan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tersebut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bisa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menjadi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potret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55366">
        <w:rPr>
          <w:rFonts w:ascii="Times New Roman" w:eastAsia="Times New Roman" w:hAnsi="Times New Roman" w:cs="Times New Roman"/>
        </w:rPr>
        <w:t>mengindikasikan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proses </w:t>
      </w:r>
      <w:proofErr w:type="spellStart"/>
      <w:r w:rsidRPr="00055366">
        <w:rPr>
          <w:rFonts w:ascii="Times New Roman" w:eastAsia="Times New Roman" w:hAnsi="Times New Roman" w:cs="Times New Roman"/>
        </w:rPr>
        <w:t>penetapan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dan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realisasi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penerima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hibah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barang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Kabupaten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Banggai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Tahun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2015 </w:t>
      </w:r>
      <w:proofErr w:type="spellStart"/>
      <w:r w:rsidRPr="00055366">
        <w:rPr>
          <w:rFonts w:ascii="Times New Roman" w:eastAsia="Times New Roman" w:hAnsi="Times New Roman" w:cs="Times New Roman"/>
        </w:rPr>
        <w:t>tidak</w:t>
      </w:r>
      <w:proofErr w:type="spellEnd"/>
      <w:r w:rsidRPr="000553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5366">
        <w:rPr>
          <w:rFonts w:ascii="Times New Roman" w:eastAsia="Times New Roman" w:hAnsi="Times New Roman" w:cs="Times New Roman"/>
        </w:rPr>
        <w:t>prosedural</w:t>
      </w:r>
      <w:proofErr w:type="spellEnd"/>
      <w:r w:rsidRPr="00055366">
        <w:rPr>
          <w:rFonts w:ascii="Times New Roman" w:eastAsia="Times New Roman" w:hAnsi="Times New Roman" w:cs="Times New Roman"/>
        </w:rPr>
        <w:t>.</w:t>
      </w:r>
    </w:p>
    <w:p w:rsidR="004E618E" w:rsidRPr="00BA7CAB" w:rsidRDefault="004E618E" w:rsidP="004E618E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A7CAB">
        <w:rPr>
          <w:sz w:val="18"/>
          <w:szCs w:val="18"/>
        </w:rPr>
        <w:t>.</w:t>
      </w:r>
    </w:p>
    <w:p w:rsidR="004B7F64" w:rsidRDefault="004B7F64"/>
    <w:sectPr w:rsidR="004B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8E"/>
    <w:rsid w:val="004B7F64"/>
    <w:rsid w:val="004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18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E61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18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E6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2015-11-16T14:22:00Z</dcterms:created>
  <dcterms:modified xsi:type="dcterms:W3CDTF">2015-11-16T14:32:00Z</dcterms:modified>
</cp:coreProperties>
</file>