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56AB499" wp14:editId="599F22A7">
            <wp:simplePos x="0" y="0"/>
            <wp:positionH relativeFrom="column">
              <wp:posOffset>3353435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ANTARA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AA6E83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BD8716" wp14:editId="41F433D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-66040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A6E83" w:rsidRDefault="00AA6E83" w:rsidP="00AA6E83">
      <w:pPr>
        <w:pStyle w:val="Heading1"/>
        <w:spacing w:before="0" w:beforeAutospacing="0" w:after="0" w:afterAutospacing="0"/>
        <w:rPr>
          <w:rStyle w:val="Strong"/>
          <w:b/>
          <w:bCs/>
          <w:sz w:val="40"/>
          <w:szCs w:val="40"/>
        </w:rPr>
      </w:pPr>
      <w:bookmarkStart w:id="0" w:name="_GoBack"/>
      <w:r w:rsidRPr="00AA6E83">
        <w:rPr>
          <w:rStyle w:val="Strong"/>
          <w:b/>
          <w:bCs/>
          <w:sz w:val="40"/>
          <w:szCs w:val="40"/>
        </w:rPr>
        <w:t xml:space="preserve">DPRD Akan </w:t>
      </w:r>
      <w:proofErr w:type="spellStart"/>
      <w:r w:rsidRPr="00AA6E83">
        <w:rPr>
          <w:rStyle w:val="Strong"/>
          <w:b/>
          <w:bCs/>
          <w:sz w:val="40"/>
          <w:szCs w:val="40"/>
        </w:rPr>
        <w:t>Panggil</w:t>
      </w:r>
      <w:proofErr w:type="spellEnd"/>
      <w:r w:rsidRPr="00AA6E83">
        <w:rPr>
          <w:rStyle w:val="Strong"/>
          <w:b/>
          <w:bCs/>
          <w:sz w:val="40"/>
          <w:szCs w:val="40"/>
        </w:rPr>
        <w:t xml:space="preserve"> </w:t>
      </w:r>
      <w:proofErr w:type="spellStart"/>
      <w:r w:rsidRPr="00AA6E83">
        <w:rPr>
          <w:rStyle w:val="Strong"/>
          <w:b/>
          <w:bCs/>
          <w:sz w:val="40"/>
          <w:szCs w:val="40"/>
        </w:rPr>
        <w:t>Direksi</w:t>
      </w:r>
      <w:proofErr w:type="spellEnd"/>
      <w:r w:rsidRPr="00AA6E83">
        <w:rPr>
          <w:rStyle w:val="Strong"/>
          <w:b/>
          <w:bCs/>
          <w:sz w:val="40"/>
          <w:szCs w:val="40"/>
        </w:rPr>
        <w:t xml:space="preserve"> Bank </w:t>
      </w:r>
      <w:proofErr w:type="spellStart"/>
      <w:r w:rsidRPr="00AA6E83">
        <w:rPr>
          <w:rStyle w:val="Strong"/>
          <w:b/>
          <w:bCs/>
          <w:sz w:val="40"/>
          <w:szCs w:val="40"/>
        </w:rPr>
        <w:t>Sulteng</w:t>
      </w:r>
      <w:proofErr w:type="spellEnd"/>
      <w:r w:rsidRPr="00AA6E83">
        <w:rPr>
          <w:rStyle w:val="Strong"/>
          <w:b/>
          <w:bCs/>
          <w:sz w:val="40"/>
          <w:szCs w:val="40"/>
        </w:rPr>
        <w:t xml:space="preserve"> </w:t>
      </w:r>
      <w:proofErr w:type="spellStart"/>
      <w:r w:rsidRPr="00AA6E83">
        <w:rPr>
          <w:rStyle w:val="Strong"/>
          <w:b/>
          <w:bCs/>
          <w:sz w:val="40"/>
          <w:szCs w:val="40"/>
        </w:rPr>
        <w:t>Terkait</w:t>
      </w:r>
      <w:proofErr w:type="spellEnd"/>
      <w:r w:rsidRPr="00AA6E83">
        <w:rPr>
          <w:rStyle w:val="Strong"/>
          <w:b/>
          <w:bCs/>
          <w:sz w:val="40"/>
          <w:szCs w:val="40"/>
        </w:rPr>
        <w:t xml:space="preserve"> LHP-BPK</w:t>
      </w:r>
    </w:p>
    <w:bookmarkEnd w:id="0"/>
    <w:p w:rsidR="00AA6E83" w:rsidRPr="00AA6E83" w:rsidRDefault="00AA6E83" w:rsidP="00AA6E83">
      <w:pPr>
        <w:pStyle w:val="Heading1"/>
        <w:spacing w:before="0" w:beforeAutospacing="0" w:after="0" w:afterAutospacing="0"/>
        <w:rPr>
          <w:sz w:val="40"/>
          <w:szCs w:val="40"/>
        </w:rPr>
      </w:pPr>
    </w:p>
    <w:p w:rsidR="00AA6E83" w:rsidRPr="00AA6E83" w:rsidRDefault="00AA6E83" w:rsidP="00AA6E83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r w:rsidRPr="00AA6E83">
        <w:rPr>
          <w:rFonts w:ascii="Times New Roman" w:eastAsia="Times New Roman" w:hAnsi="Times New Roman"/>
          <w:b/>
          <w:bCs/>
          <w:sz w:val="20"/>
          <w:szCs w:val="20"/>
        </w:rPr>
        <w:t>(antarasulteng.com)</w:t>
      </w:r>
      <w:r w:rsidRPr="00AA6E83">
        <w:rPr>
          <w:rFonts w:ascii="Times New Roman" w:eastAsia="Times New Roman" w:hAnsi="Times New Roman"/>
          <w:sz w:val="20"/>
          <w:szCs w:val="20"/>
        </w:rPr>
        <w:t xml:space="preserve"> - DPRD Sulawesi Tengah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memanggil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direksi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PT. Bank Sulawesi Tengah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laporan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Badan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Pemeriksa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Keuangan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(BPK) RI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Perwakilan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Sulawesi Tengah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kinerja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efisiensi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efektivitas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bank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buku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2014-20</w:t>
      </w:r>
      <w:r>
        <w:rPr>
          <w:rFonts w:ascii="Times New Roman" w:eastAsia="Times New Roman" w:hAnsi="Times New Roman"/>
          <w:sz w:val="20"/>
          <w:szCs w:val="20"/>
        </w:rPr>
        <w:t xml:space="preserve">15 yang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kurang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menggembirakan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AA6E83">
        <w:rPr>
          <w:rFonts w:ascii="Times New Roman" w:eastAsia="Times New Roman" w:hAnsi="Times New Roman"/>
          <w:sz w:val="20"/>
          <w:szCs w:val="20"/>
        </w:rPr>
        <w:t>"</w:t>
      </w:r>
      <w:proofErr w:type="spellStart"/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Panitia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kerja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DPRD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mengundang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Bank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Sulteng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menghadiri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rapat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dengar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pendapat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laporan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BPK," kata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anggota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Panitia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Kerja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Fraksi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Demokrat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Zulfakar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Sabtu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A6E83">
        <w:rPr>
          <w:rFonts w:ascii="Times New Roman" w:eastAsia="Times New Roman" w:hAnsi="Times New Roman"/>
          <w:sz w:val="20"/>
          <w:szCs w:val="20"/>
        </w:rPr>
        <w:br/>
      </w:r>
      <w:r w:rsidRPr="00AA6E83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Zulfakar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DPRD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wajib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menindaklanjuti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sehingga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diundang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mendengarkan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keterangan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asil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Zulfakar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sekian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banyak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salah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sorotan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struktur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strategi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peningkatan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modal Bank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Sulteng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sesuai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rencana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bisnis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bank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2014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2015.</w:t>
      </w:r>
      <w:proofErr w:type="gramEnd"/>
      <w:r w:rsidRPr="00AA6E83">
        <w:rPr>
          <w:rFonts w:ascii="Times New Roman" w:eastAsia="Times New Roman" w:hAnsi="Times New Roman"/>
          <w:sz w:val="20"/>
          <w:szCs w:val="20"/>
        </w:rPr>
        <w:br/>
      </w:r>
      <w:r w:rsidRPr="00AA6E83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menunjukkan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rencana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penambahan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modal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terealisasi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69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Rp158,7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miliar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ta</w:t>
      </w:r>
      <w:r>
        <w:rPr>
          <w:rFonts w:ascii="Times New Roman" w:eastAsia="Times New Roman" w:hAnsi="Times New Roman"/>
          <w:sz w:val="20"/>
          <w:szCs w:val="20"/>
        </w:rPr>
        <w:t xml:space="preserve">rget Rp228,8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miliar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2014.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AA6E83">
        <w:rPr>
          <w:rFonts w:ascii="Times New Roman" w:eastAsia="Times New Roman" w:hAnsi="Times New Roman"/>
          <w:sz w:val="20"/>
          <w:szCs w:val="20"/>
        </w:rPr>
        <w:t xml:space="preserve">Dari 13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pemegang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saham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dua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memenuhi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kewajibannya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menyertakan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modal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sesuai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rencana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yakni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Tolitoli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sebesar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Rp9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miliar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Morowali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Rp6,5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miliar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Tojo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Unauna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sebesar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Rp8,2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miliar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>.</w:t>
      </w:r>
      <w:r w:rsidRPr="00AA6E83">
        <w:rPr>
          <w:rFonts w:ascii="Times New Roman" w:eastAsia="Times New Roman" w:hAnsi="Times New Roman"/>
          <w:sz w:val="20"/>
          <w:szCs w:val="20"/>
        </w:rPr>
        <w:br/>
      </w:r>
      <w:r w:rsidRPr="00AA6E83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PT. Mega Corpora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hingga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sampai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31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Desember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2014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diakui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penyertaan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modal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persetujuan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Otoritas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Keuangan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Padahal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2013,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menyetorkan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penyer</w:t>
      </w:r>
      <w:r>
        <w:rPr>
          <w:rFonts w:ascii="Times New Roman" w:eastAsia="Times New Roman" w:hAnsi="Times New Roman"/>
          <w:sz w:val="20"/>
          <w:szCs w:val="20"/>
        </w:rPr>
        <w:t>taannya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sebesar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Rp98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,3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miliar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Setoran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PT. Mega Corpora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disetujui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OJK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tanggal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30 September 2015.</w:t>
      </w:r>
      <w:proofErr w:type="gram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r w:rsidRPr="00AA6E83">
        <w:rPr>
          <w:rFonts w:ascii="Times New Roman" w:eastAsia="Times New Roman" w:hAnsi="Times New Roman"/>
          <w:sz w:val="20"/>
          <w:szCs w:val="20"/>
        </w:rPr>
        <w:br/>
      </w:r>
      <w:r w:rsidRPr="00AA6E83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menunjukkan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Bank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Sulteng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langka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strategis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 program yang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jelas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terukur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memenuhi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kebutu</w:t>
      </w:r>
      <w:r>
        <w:rPr>
          <w:rFonts w:ascii="Times New Roman" w:eastAsia="Times New Roman" w:hAnsi="Times New Roman"/>
          <w:sz w:val="20"/>
          <w:szCs w:val="20"/>
        </w:rPr>
        <w:t>han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modal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dasar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bank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 xml:space="preserve">Dari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laporan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disebutkan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Bank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Sulteng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sebatas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pendekatan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formal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maupun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nonformal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gubernur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walikota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serta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PT. Mega Corpora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selaku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pemegang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saham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agar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mempercepat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setoran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modal.</w:t>
      </w:r>
      <w:proofErr w:type="gramEnd"/>
      <w:r w:rsidRPr="00AA6E83">
        <w:rPr>
          <w:rFonts w:ascii="Times New Roman" w:eastAsia="Times New Roman" w:hAnsi="Times New Roman"/>
          <w:sz w:val="20"/>
          <w:szCs w:val="20"/>
        </w:rPr>
        <w:br/>
      </w:r>
      <w:r w:rsidRPr="00AA6E83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mempercepat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realisasi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kompensasi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aset-aset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diperhitungkan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penyertaan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modal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antara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lain</w:t>
      </w:r>
      <w:proofErr w:type="gram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</w:t>
      </w:r>
      <w:r>
        <w:rPr>
          <w:rFonts w:ascii="Times New Roman" w:eastAsia="Times New Roman" w:hAnsi="Times New Roman"/>
          <w:sz w:val="20"/>
          <w:szCs w:val="20"/>
        </w:rPr>
        <w:t>ntah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Morowali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Poso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menilai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Bank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Sulteng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optimal </w:t>
      </w:r>
      <w:proofErr w:type="spellStart"/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proofErr w:type="gram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menghimpun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ketiga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AA6E83">
        <w:rPr>
          <w:rFonts w:ascii="Times New Roman" w:eastAsia="Times New Roman" w:hAnsi="Times New Roman"/>
          <w:sz w:val="20"/>
          <w:szCs w:val="20"/>
        </w:rPr>
        <w:br/>
      </w:r>
      <w:r w:rsidRPr="00AA6E83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2014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misalnya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ketiga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khususnya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giro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ditargetkan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sebesar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77</w:t>
      </w:r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,27</w:t>
      </w:r>
      <w:proofErr w:type="gram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terealisir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42,05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Realisasi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proofErr w:type="gram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ketiga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membaik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2015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memeriksa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sampai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30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Juni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2015. Dari target 40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reali</w:t>
      </w:r>
      <w:r>
        <w:rPr>
          <w:rFonts w:ascii="Times New Roman" w:eastAsia="Times New Roman" w:hAnsi="Times New Roman"/>
          <w:sz w:val="20"/>
          <w:szCs w:val="20"/>
        </w:rPr>
        <w:t>sasinya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mencapai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69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,95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Demikian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halnya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ketiga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tabungan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2014 yang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ditargetkan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sebesar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14</w:t>
      </w:r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,95</w:t>
      </w:r>
      <w:proofErr w:type="gram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realis</w:t>
      </w:r>
      <w:r>
        <w:rPr>
          <w:rFonts w:ascii="Times New Roman" w:eastAsia="Times New Roman" w:hAnsi="Times New Roman"/>
          <w:sz w:val="20"/>
          <w:szCs w:val="20"/>
        </w:rPr>
        <w:t>asinya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mencapai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18,34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Tetapi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2015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realisasi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tabungan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ketiga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sampai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semester I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6</w:t>
      </w:r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>,18</w:t>
      </w:r>
      <w:proofErr w:type="gram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target 20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Begitu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pula target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deposito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Meski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2014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realisasi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melampaui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target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sebesar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39,61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7,78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tetapi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2015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sampai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Juni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terealisasi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23,88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target 40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AA6E83">
        <w:rPr>
          <w:rFonts w:ascii="Times New Roman" w:eastAsia="Times New Roman" w:hAnsi="Times New Roman"/>
          <w:sz w:val="20"/>
          <w:szCs w:val="20"/>
        </w:rPr>
        <w:t>"</w:t>
      </w:r>
      <w:proofErr w:type="gramStart"/>
      <w:r w:rsidRPr="00AA6E83">
        <w:rPr>
          <w:rFonts w:ascii="Times New Roman" w:eastAsia="Times New Roman" w:hAnsi="Times New Roman"/>
          <w:sz w:val="20"/>
          <w:szCs w:val="20"/>
        </w:rPr>
        <w:t xml:space="preserve">DPRD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mempelajari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lagi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jauh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mengenai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pemeriksaan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 BPK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 xml:space="preserve">," kata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Zulfakar</w:t>
      </w:r>
      <w:proofErr w:type="spellEnd"/>
      <w:r w:rsidRPr="00AA6E83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A6E83">
        <w:rPr>
          <w:rFonts w:ascii="Times New Roman" w:eastAsia="Times New Roman" w:hAnsi="Times New Roman"/>
          <w:sz w:val="20"/>
          <w:szCs w:val="20"/>
        </w:rPr>
        <w:t> </w:t>
      </w:r>
    </w:p>
    <w:p w:rsidR="00566E2D" w:rsidRPr="00AA6E83" w:rsidRDefault="00AA6E83" w:rsidP="00AA6E83">
      <w:pPr>
        <w:spacing w:before="100" w:beforeAutospacing="1"/>
        <w:jc w:val="both"/>
        <w:rPr>
          <w:rFonts w:ascii="Times New Roman" w:eastAsia="Times New Roman" w:hAnsi="Times New Roman"/>
          <w:sz w:val="20"/>
          <w:szCs w:val="20"/>
        </w:rPr>
      </w:pPr>
      <w:r w:rsidRPr="00AA6E83">
        <w:rPr>
          <w:rFonts w:ascii="Times New Roman" w:eastAsia="Times New Roman" w:hAnsi="Times New Roman"/>
          <w:sz w:val="20"/>
          <w:szCs w:val="20"/>
        </w:rPr>
        <w:t xml:space="preserve">Editor: Rolex </w:t>
      </w:r>
      <w:proofErr w:type="spellStart"/>
      <w:r w:rsidRPr="00AA6E83">
        <w:rPr>
          <w:rFonts w:ascii="Times New Roman" w:eastAsia="Times New Roman" w:hAnsi="Times New Roman"/>
          <w:sz w:val="20"/>
          <w:szCs w:val="20"/>
        </w:rPr>
        <w:t>Malaha</w:t>
      </w:r>
      <w:proofErr w:type="spellEnd"/>
    </w:p>
    <w:sectPr w:rsidR="00566E2D" w:rsidRPr="00AA6E83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AA6E83"/>
    <w:rsid w:val="00B32E94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2016-04-12T02:39:00Z</dcterms:created>
  <dcterms:modified xsi:type="dcterms:W3CDTF">2016-04-12T02:39:00Z</dcterms:modified>
</cp:coreProperties>
</file>