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485CB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661FAC6" wp14:editId="57DE5D8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8255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85CB9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1D633849" wp14:editId="02731759">
            <wp:simplePos x="0" y="0"/>
            <wp:positionH relativeFrom="column">
              <wp:posOffset>443530</wp:posOffset>
            </wp:positionH>
            <wp:positionV relativeFrom="paragraph">
              <wp:posOffset>3642995</wp:posOffset>
            </wp:positionV>
            <wp:extent cx="5943600" cy="225234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33A3C53" wp14:editId="0C2909A2">
            <wp:simplePos x="0" y="0"/>
            <wp:positionH relativeFrom="column">
              <wp:posOffset>431800</wp:posOffset>
            </wp:positionH>
            <wp:positionV relativeFrom="paragraph">
              <wp:posOffset>429895</wp:posOffset>
            </wp:positionV>
            <wp:extent cx="5943600" cy="30118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Pembayaran tanah Rp23,1 M di Pemkab Parmout Dipertanyakan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2016-07-18T06:46:00Z</dcterms:created>
  <dcterms:modified xsi:type="dcterms:W3CDTF">2016-07-18T06:46:00Z</dcterms:modified>
</cp:coreProperties>
</file>