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8584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35EE065" wp14:editId="19D374F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05557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E070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1912875" wp14:editId="28C9D65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-57150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EE0708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6817A2C" wp14:editId="4038DDC0">
            <wp:simplePos x="0" y="0"/>
            <wp:positionH relativeFrom="column">
              <wp:posOffset>2464028</wp:posOffset>
            </wp:positionH>
            <wp:positionV relativeFrom="paragraph">
              <wp:posOffset>3310706</wp:posOffset>
            </wp:positionV>
            <wp:extent cx="1622425" cy="5141595"/>
            <wp:effectExtent l="0" t="6985" r="8890" b="889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242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50A1151" wp14:editId="0E470B19">
            <wp:simplePos x="0" y="0"/>
            <wp:positionH relativeFrom="column">
              <wp:posOffset>1964690</wp:posOffset>
            </wp:positionH>
            <wp:positionV relativeFrom="paragraph">
              <wp:posOffset>485140</wp:posOffset>
            </wp:positionV>
            <wp:extent cx="2505075" cy="4568825"/>
            <wp:effectExtent l="0" t="0" r="9525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Infrastruktur PDAM Palu di Poboya Rusak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2016-06-29T07:01:00Z</dcterms:created>
  <dcterms:modified xsi:type="dcterms:W3CDTF">2016-06-29T07:01:00Z</dcterms:modified>
</cp:coreProperties>
</file>