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812AC7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6D978A" wp14:editId="075B371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-74295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174D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885033" wp14:editId="407960A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96617" w:rsidRDefault="00396617" w:rsidP="00396617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396617">
        <w:rPr>
          <w:rFonts w:ascii="Times New Roman" w:hAnsi="Times New Roman"/>
          <w:b/>
          <w:noProof/>
          <w:sz w:val="28"/>
          <w:szCs w:val="28"/>
        </w:rPr>
        <w:t>Honor Bapperda DPRD Palu Sebagai Narasumber Tidak Jelas</w:t>
      </w:r>
    </w:p>
    <w:bookmarkEnd w:id="0"/>
    <w:p w:rsidR="00396617" w:rsidRPr="00396617" w:rsidRDefault="00396617" w:rsidP="0039661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3241964" cy="1822999"/>
            <wp:effectExtent l="0" t="0" r="0" b="6350"/>
            <wp:docPr id="12" name="Picture 12" descr="http://www.metrosulawesi.com/sites/default/files/styles/img_780_439/public/main/articles/1_9.jpg?itok=TMtS8Z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sulawesi.com/sites/default/files/styles/img_780_439/public/main/articles/1_9.jpg?itok=TMtS8ZS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12" cy="18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17" w:rsidRPr="00396617" w:rsidRDefault="00396617" w:rsidP="0039661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39661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ILUSTRASI -</w:t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Rapat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pembahasan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DPRD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 (</w:t>
      </w:r>
      <w:proofErr w:type="spellStart"/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Foto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:</w:t>
      </w:r>
      <w:proofErr w:type="gram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Dok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Metrosulawesi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396617" w:rsidRPr="00396617" w:rsidRDefault="00396617" w:rsidP="0039661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39661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9661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 Honor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anggota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Badan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Pembentukan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Daerah (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narasumber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pembentukan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dua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Rancangan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daerah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inisiatif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yakni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Arsip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Perpustakaan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terkesan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jelas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Pasalnya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PPTK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Inisiatif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Ibu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Ota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mengaku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lupa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terkait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hal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  </w:t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  <w:t>“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ingat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jumlah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honor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buat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anggota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berapa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Tapi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kami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keluarkan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sesuai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Perwali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Wali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Kota),” kata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ibu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Ota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melalui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ponselnya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Jumat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26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Agustus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2016.</w:t>
      </w:r>
      <w:proofErr w:type="gram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Ditanya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terkait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Perwali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landasan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hukum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pemberian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honor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narasumber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Ibu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Ota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juga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mengaku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lupa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”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Perwalinya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juga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tahu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ungkapnya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proofErr w:type="spellStart"/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Menurutnya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sah-sah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anggota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Terkait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narasumber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pembahasan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Inisiatif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 </w:t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br/>
      </w:r>
      <w:proofErr w:type="gram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Aturan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mereka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narasumber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ungkapnya</w:t>
      </w:r>
      <w:proofErr w:type="spellEnd"/>
      <w:r w:rsidRPr="0039661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816A99" w:rsidRPr="00B174DA" w:rsidRDefault="00816A99" w:rsidP="0039661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96617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0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90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2016-09-14T05:02:00Z</dcterms:created>
  <dcterms:modified xsi:type="dcterms:W3CDTF">2016-09-14T05:02:00Z</dcterms:modified>
</cp:coreProperties>
</file>