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670EC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E397DF" wp14:editId="514627DE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670EC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1F0905" wp14:editId="79A9B97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70ECB" w:rsidRDefault="00670ECB" w:rsidP="00670ECB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670ECB">
        <w:rPr>
          <w:rFonts w:ascii="Times New Roman" w:hAnsi="Times New Roman"/>
          <w:b/>
          <w:noProof/>
          <w:sz w:val="28"/>
          <w:szCs w:val="28"/>
        </w:rPr>
        <w:t>Raperda CSR Bisa Menjadi Sumber PAD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Konsultasi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Kemendagri</w:t>
      </w:r>
      <w:proofErr w:type="spell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Metrosulawesi.com -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Pembentukan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Daerah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DPRD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Kunjungan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Kerja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Kunker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Kementerian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Negeri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Kemendagri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Kementerian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Hukum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HAM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Kemenkumham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di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jakarta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mengkonsultasikan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tentang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Corporate Social Responsibility (CSR)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Tanggungjawab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Sosial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Perusahaan.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“CSR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dijadikan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Rancangan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Daerah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inisiatif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anggota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Ridwan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Alimuda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Lebih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lanjut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kata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Ridwan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bertujuan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menggenjot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banyak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perusahaan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terorganisir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penyalurannya</w:t>
      </w: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,sehingga</w:t>
      </w:r>
      <w:proofErr w:type="spellEnd"/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apabila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Perda-nya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Pemkot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meningkatkan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PAD,”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jelasnya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Sebelumnya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Ridwan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Kunker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beberapa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daerah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yaitu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Balikpapan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Makasar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melihat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penerapan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di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daerah-daerah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dipastikan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salah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sumber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PAD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pihak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mematangkan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penyusunan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agar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berjalan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maksimal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tengah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jelasnya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Kamis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8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Agustus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2016.</w:t>
      </w:r>
      <w:proofErr w:type="gram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Politisi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PPP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menjelaskan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usulan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tela</w:t>
      </w: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lama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digalang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Bapperda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inisiatif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muncul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begitu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tanpa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dasar-dasar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pertimbangan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apapun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pihak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bantuan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Parpol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diproses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sehingga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kita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fokus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ujarnya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Didaerah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lain</w:t>
      </w:r>
      <w:proofErr w:type="spellEnd"/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kata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Ridwan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yang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menerapkan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terbukti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meraup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PAD yang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cukup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signifikan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iapun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yakin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Perda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membuahkan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hasil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baik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meningkatkan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PAD Kota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Diketahui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penyaluran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dana</w:t>
      </w:r>
      <w:proofErr w:type="spellEnd"/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corporate social responsibility (CSR)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menyisakan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banyak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persoalan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diantaranya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soal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sasaran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ketepatan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penggunaan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serta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apakah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perusahaan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penyaluran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langsung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?</w:t>
      </w: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670ECB" w:rsidRPr="00670ECB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Ir.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Saprudin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Hamdani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Damanik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MAI (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Agribisnis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Agroindustri Indonesia</w:t>
      </w: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bahwa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merupakan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kewajiban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bagi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perusahaan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turut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serta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pemberdayaan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bagi-bagi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kue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tetapi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sebuah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yang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berkesinambungan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Banyak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CSR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disalurkan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BUMN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bernilai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milyaran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rupiah,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namun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kurang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sasaran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berkelanjutan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6A99" w:rsidRPr="00B174DA" w:rsidRDefault="00670ECB" w:rsidP="00670EC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harapannya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bagaimana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LSM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mengambil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baik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pengawasan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maupun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terlibat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program-program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pemberdayaan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melalui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CSR,”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katanya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Workshop “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Kemitraan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Strategis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antara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Organisasi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Sipil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(OMS)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Sektor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Swasta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Pemberdayaan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Pembangunan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Berkelanjutan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”, di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Asean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Hotel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Internasional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Medan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beberapa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waktu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lalu</w:t>
      </w:r>
      <w:proofErr w:type="spellEnd"/>
      <w:r w:rsidRPr="00670EC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3255B"/>
    <w:rsid w:val="00741D7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2016-09-14T05:12:00Z</dcterms:created>
  <dcterms:modified xsi:type="dcterms:W3CDTF">2016-09-14T05:12:00Z</dcterms:modified>
</cp:coreProperties>
</file>