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9F" w:rsidRPr="00744ED5" w:rsidRDefault="00F2769F" w:rsidP="00F2769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97DFDBA" wp14:editId="417B8F9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F2769F" w:rsidRDefault="00F2769F" w:rsidP="00F2769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F2769F" w:rsidRPr="00744ED5" w:rsidRDefault="00F2769F" w:rsidP="00F2769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F2769F" w:rsidRPr="00076A96" w:rsidTr="00F276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F2769F" w:rsidRPr="003258EE" w:rsidTr="00F2769F">
        <w:trPr>
          <w:trHeight w:val="345"/>
        </w:trPr>
        <w:tc>
          <w:tcPr>
            <w:tcW w:w="5000" w:type="pct"/>
            <w:vAlign w:val="center"/>
          </w:tcPr>
          <w:p w:rsidR="00F2769F" w:rsidRPr="003258EE" w:rsidRDefault="00F2769F" w:rsidP="00F276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F2769F" w:rsidRPr="003258EE" w:rsidTr="00F2769F">
        <w:trPr>
          <w:trHeight w:val="345"/>
        </w:trPr>
        <w:tc>
          <w:tcPr>
            <w:tcW w:w="5000" w:type="pct"/>
            <w:vAlign w:val="center"/>
          </w:tcPr>
          <w:p w:rsidR="00F2769F" w:rsidRPr="002D5C4A" w:rsidRDefault="00A0423C" w:rsidP="00F2769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Palu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ekspres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2769F" w:rsidRPr="003258EE" w:rsidRDefault="00F2769F" w:rsidP="00F2769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F2769F" w:rsidRPr="003258EE" w:rsidTr="00F2769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Default="00F2769F" w:rsidP="00F2769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0163B54" wp14:editId="6FEEB40B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F2769F" w:rsidRPr="003258EE" w:rsidRDefault="00F2769F" w:rsidP="00F2769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F2769F" w:rsidRPr="003258EE" w:rsidTr="00F276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F2769F" w:rsidRPr="003258EE" w:rsidTr="00F276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7BFCFED" wp14:editId="34987570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F2769F" w:rsidRPr="003258EE" w:rsidRDefault="00F2769F" w:rsidP="00F276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F2769F" w:rsidRPr="003258EE" w:rsidRDefault="00F2769F" w:rsidP="00F2769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F2769F" w:rsidRPr="003258EE" w:rsidTr="00F2769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F2769F" w:rsidRPr="003258EE" w:rsidRDefault="00A0423C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A6D5D7A" wp14:editId="10A7D3C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-33020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F2769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F2769F" w:rsidRPr="003258EE" w:rsidRDefault="00F2769F" w:rsidP="00F276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2769F" w:rsidRPr="007C6CF3" w:rsidRDefault="00F2769F" w:rsidP="00A0423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</w:rPr>
      </w:pPr>
      <w:proofErr w:type="spellStart"/>
      <w:r w:rsidRPr="007C6CF3">
        <w:rPr>
          <w:rFonts w:ascii="Arial" w:eastAsia="Times New Roman" w:hAnsi="Arial" w:cs="Arial"/>
          <w:b/>
          <w:bCs/>
          <w:color w:val="222222"/>
          <w:kern w:val="36"/>
        </w:rPr>
        <w:t>Tingginya</w:t>
      </w:r>
      <w:proofErr w:type="spellEnd"/>
      <w:r w:rsidRPr="007C6CF3">
        <w:rPr>
          <w:rFonts w:ascii="Arial" w:eastAsia="Times New Roman" w:hAnsi="Arial" w:cs="Arial"/>
          <w:b/>
          <w:bCs/>
          <w:color w:val="222222"/>
          <w:kern w:val="36"/>
        </w:rPr>
        <w:t xml:space="preserve"> </w:t>
      </w:r>
      <w:proofErr w:type="spellStart"/>
      <w:r w:rsidRPr="007C6CF3">
        <w:rPr>
          <w:rFonts w:ascii="Arial" w:eastAsia="Times New Roman" w:hAnsi="Arial" w:cs="Arial"/>
          <w:b/>
          <w:bCs/>
          <w:color w:val="222222"/>
          <w:kern w:val="36"/>
        </w:rPr>
        <w:t>Anggaran</w:t>
      </w:r>
      <w:proofErr w:type="spellEnd"/>
      <w:r w:rsidRPr="007C6CF3">
        <w:rPr>
          <w:rFonts w:ascii="Arial" w:eastAsia="Times New Roman" w:hAnsi="Arial" w:cs="Arial"/>
          <w:b/>
          <w:bCs/>
          <w:color w:val="222222"/>
          <w:kern w:val="36"/>
        </w:rPr>
        <w:t xml:space="preserve"> </w:t>
      </w:r>
      <w:proofErr w:type="spellStart"/>
      <w:r w:rsidRPr="007C6CF3">
        <w:rPr>
          <w:rFonts w:ascii="Arial" w:eastAsia="Times New Roman" w:hAnsi="Arial" w:cs="Arial"/>
          <w:b/>
          <w:bCs/>
          <w:color w:val="222222"/>
          <w:kern w:val="36"/>
        </w:rPr>
        <w:t>Perjalanan</w:t>
      </w:r>
      <w:proofErr w:type="spellEnd"/>
      <w:r w:rsidRPr="007C6CF3">
        <w:rPr>
          <w:rFonts w:ascii="Arial" w:eastAsia="Times New Roman" w:hAnsi="Arial" w:cs="Arial"/>
          <w:b/>
          <w:bCs/>
          <w:color w:val="222222"/>
          <w:kern w:val="36"/>
        </w:rPr>
        <w:t xml:space="preserve"> </w:t>
      </w:r>
      <w:proofErr w:type="spellStart"/>
      <w:r w:rsidRPr="007C6CF3">
        <w:rPr>
          <w:rFonts w:ascii="Arial" w:eastAsia="Times New Roman" w:hAnsi="Arial" w:cs="Arial"/>
          <w:b/>
          <w:bCs/>
          <w:color w:val="222222"/>
          <w:kern w:val="36"/>
        </w:rPr>
        <w:t>Dinas</w:t>
      </w:r>
      <w:proofErr w:type="spellEnd"/>
      <w:r w:rsidRPr="007C6CF3">
        <w:rPr>
          <w:rFonts w:ascii="Arial" w:eastAsia="Times New Roman" w:hAnsi="Arial" w:cs="Arial"/>
          <w:b/>
          <w:bCs/>
          <w:color w:val="222222"/>
          <w:kern w:val="36"/>
        </w:rPr>
        <w:t xml:space="preserve"> </w:t>
      </w:r>
      <w:proofErr w:type="spellStart"/>
      <w:r w:rsidRPr="007C6CF3">
        <w:rPr>
          <w:rFonts w:ascii="Arial" w:eastAsia="Times New Roman" w:hAnsi="Arial" w:cs="Arial"/>
          <w:b/>
          <w:bCs/>
          <w:color w:val="222222"/>
          <w:kern w:val="36"/>
        </w:rPr>
        <w:t>Pemprov</w:t>
      </w:r>
      <w:proofErr w:type="spellEnd"/>
      <w:r w:rsidRPr="007C6CF3">
        <w:rPr>
          <w:rFonts w:ascii="Arial" w:eastAsia="Times New Roman" w:hAnsi="Arial" w:cs="Arial"/>
          <w:b/>
          <w:bCs/>
          <w:color w:val="222222"/>
          <w:kern w:val="36"/>
        </w:rPr>
        <w:t xml:space="preserve"> </w:t>
      </w:r>
      <w:proofErr w:type="spellStart"/>
      <w:r w:rsidRPr="007C6CF3">
        <w:rPr>
          <w:rFonts w:ascii="Arial" w:eastAsia="Times New Roman" w:hAnsi="Arial" w:cs="Arial"/>
          <w:b/>
          <w:bCs/>
          <w:color w:val="222222"/>
          <w:kern w:val="36"/>
        </w:rPr>
        <w:t>Sulteng</w:t>
      </w:r>
      <w:proofErr w:type="spellEnd"/>
    </w:p>
    <w:p w:rsidR="00F2769F" w:rsidRPr="00A0423C" w:rsidRDefault="00F2769F" w:rsidP="00A0423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16"/>
          <w:szCs w:val="16"/>
        </w:rPr>
      </w:pPr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PALU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,PE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—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Dirjen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Bina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Keuangan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Daerah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Kementerian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Dalam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Negeri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Drs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Reydonnyzar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Moenek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M.Devt.M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membeberkan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data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mencengangkan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soal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besarnya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Pemprov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.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tanggung-tanggung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Donny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mencatat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nilai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sebesar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Rp3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,5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miliar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sepanjang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tahun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r w:rsidRPr="00A0423C">
        <w:rPr>
          <w:rFonts w:ascii="Lato" w:eastAsia="Times New Roman" w:hAnsi="Lato" w:cs="Times New Roman"/>
          <w:color w:val="222222"/>
          <w:sz w:val="16"/>
          <w:szCs w:val="16"/>
        </w:rPr>
        <w:br/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Data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dibeberkan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Donny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hadapan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tamu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undangan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acara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Bank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Hotel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Mercure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beberapa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lalu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“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Wah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sangat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besar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,Pak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,”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Ujar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Donny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hadapan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Gubernur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Longki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Djanggola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serta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sejumlah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pejabat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teras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Pemprov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</w:p>
    <w:p w:rsidR="00F2769F" w:rsidRPr="00A0423C" w:rsidRDefault="00F2769F" w:rsidP="00A0423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16"/>
          <w:szCs w:val="16"/>
        </w:rPr>
      </w:pP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Besarnya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pun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sudah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sejak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tahun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2012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mendapat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perhatian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Kementerian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Dalam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Negeri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.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urung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Menteri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Dalam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Negeri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Gamawan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Fauzi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meminta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pemprov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untuk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memangkas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tersebut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Namun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nanti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2017,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Gubernur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lalu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memutuskan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untuk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memotong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sebesar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50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persen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r w:rsidR="00A0423C"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Pantas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saja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bila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Pemprov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diminta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untuk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dipangkas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Salah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contoh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Sekteriat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DPRD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Dari data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dikumpulkan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Palu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Ekspres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tercatat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seorang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pejabat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bisa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melakukan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lima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sampai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dengan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enam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kali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dalam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tahun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</w:p>
    <w:p w:rsidR="00F2769F" w:rsidRPr="00A0423C" w:rsidRDefault="00F2769F" w:rsidP="00A0423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16"/>
          <w:szCs w:val="16"/>
        </w:rPr>
      </w:pP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Salah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contoh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dilakukan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salah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Kepala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Bagian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DPRD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Berdasarkan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data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diterima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Oknum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Kabag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tersebut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melakukan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keluar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daerah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sebanyak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enam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kali.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Terhitung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sejak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Januari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hingga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Oktober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tahun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2016.</w:t>
      </w:r>
      <w:proofErr w:type="gramEnd"/>
      <w:r w:rsidR="00A0423C"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Pertama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3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Maret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2016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melakukan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orientasi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DPRD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Jawa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Barat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orientasi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persidangan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Kabupaten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Banggai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Kepulauan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10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Juni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2016.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Berikutnya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ADPSI di Jakarta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26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Juli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Lampung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24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Agustus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2016,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berturut-turut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Jakarta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masing-masing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18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Oktober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14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Maret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2016.</w:t>
      </w:r>
      <w:r w:rsidR="00A0423C"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Selain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Kabag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seorang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staf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pegawai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juga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tercatat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melakukan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sebanyak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empat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kali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sepanjang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tahun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2016.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Masing-masing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3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Maret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Bandung, 10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Juni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Banggai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Kepulauan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19 Mei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Buol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26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Juli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Jakarta.</w:t>
      </w:r>
    </w:p>
    <w:p w:rsidR="00F2769F" w:rsidRPr="00A0423C" w:rsidRDefault="00F2769F" w:rsidP="00A0423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16"/>
          <w:szCs w:val="16"/>
        </w:rPr>
      </w:pP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hanya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pejabat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Salah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pejabat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bagian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persidangan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bisa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melakukan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sebanyak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tiga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kali.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Yakni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22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Januari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8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Juni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25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Oktober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r w:rsidR="00A0423C"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DPRD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Mukmin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Sudjuha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SH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dikonfirmasi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Kantor DPRD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tempat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Informasi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dari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Mukmin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dalam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keadaan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sakit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</w:p>
    <w:p w:rsidR="00F2769F" w:rsidRPr="00A0423C" w:rsidRDefault="00F2769F" w:rsidP="00A0423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16"/>
          <w:szCs w:val="16"/>
        </w:rPr>
      </w:pP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“Pak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sakit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lebih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dulu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sebelum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kabag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persidangan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Pak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Kabag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sekarang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Undata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Sejak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kemarin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(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Kamis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17 November)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masuk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(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rumah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sakit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,red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),”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ujar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perempuan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paruh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baya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dikonfirmasi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soal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Sekwan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sakit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</w:p>
    <w:p w:rsidR="00F2769F" w:rsidRPr="00A0423C" w:rsidRDefault="00F2769F" w:rsidP="00A0423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16"/>
          <w:szCs w:val="16"/>
        </w:rPr>
      </w:pP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Isu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soal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tingginya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intensitas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pun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sudah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merebak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.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Anggota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DPRD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mensinyalir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hal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br/>
        <w:t xml:space="preserve">Sony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Tandra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misalnya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.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Anggota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DPRD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dari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Fraksi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Gerindra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mengaku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tidak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pernah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melihat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rekap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jumlah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antara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anggota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pegawai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r w:rsidR="00A0423C"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Meski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menampik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soal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namun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anggota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Banggar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DPRD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menolak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berkomentar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dengan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alasan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belum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mengantongi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bukti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terkait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itu</w:t>
      </w:r>
      <w:proofErr w:type="spellEnd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br/>
        <w:t>“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Yah,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kalau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dengar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sih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Tapi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tidak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berani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memvonis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atau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tidak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,”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tandasnya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ditemui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gedung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DPRD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Jumat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, 18 November 2016.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br/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Untuk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membuktikan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dugaan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kata Sony,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dewan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harus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mengantongi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data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berkaitan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dengan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rekapitulasi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jumlah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lingkup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dewan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 “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Belum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rekapnya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(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,red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).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Kalau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isu-isu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sih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dengar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,”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ujarnya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</w:p>
    <w:p w:rsidR="00F2769F" w:rsidRPr="00A0423C" w:rsidRDefault="00F2769F" w:rsidP="00A0423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16"/>
          <w:szCs w:val="16"/>
        </w:rPr>
      </w:pP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Namun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kata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tidak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regulasi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mengatur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intensitas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bagi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pegawai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.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Sepanjang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dilakukan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dalam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rangka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urusan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pekerjaan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memenuhi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ketentuan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administrasi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.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Maka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kata Sony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sah-sah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saja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Kendati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begitu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Sony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menegaskan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pihak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DPRD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akan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membentuk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tim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PURJ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untuk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mengevaluasi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belanja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melekat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dalam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rumah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tangga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. “Kita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ingin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mengetahui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apakah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belanja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rumahtangga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termasuk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rasional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atau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tidak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.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kami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sudah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mulai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mengumpulkan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data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pendukungnya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,”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pungkasnya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Panitia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sejatinya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sudah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lama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dibentuk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sejak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2014.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tujuannya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sama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untuk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merasionalisasi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mengevaluasi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anggaran-anggaran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khusus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bagian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DPRD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. 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“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Karena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belum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rekapannya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Inilah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mengapa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kami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membentuk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PURT.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Tujuannya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untuk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menanggapi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isu-isu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berkembang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luar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sana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terkait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dewan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agar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tidak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sekadar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isu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,”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tukasnya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Sony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memastikan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bahwa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PURT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tengah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mengumpulkan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semua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data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berkaitan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dengan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penggunaan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dewan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Hasil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penelusuran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PURT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ini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akan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menjadi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dasar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bagi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penetapan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belanja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sekretariat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dewan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Provinsi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Sulteng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tahun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berikutnya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2017.  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“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Kalau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memang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tidak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rasional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yah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kita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evaluasi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,”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tandasnya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</w:p>
    <w:p w:rsidR="00F2769F" w:rsidRPr="00A0423C" w:rsidRDefault="00F2769F" w:rsidP="00A0423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16"/>
          <w:szCs w:val="16"/>
        </w:rPr>
      </w:pP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Disinggung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mengenai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berapa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jumlah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normal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seorang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anggota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dewan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Sony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berdalih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jumlahnya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tergantung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kebutuhan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yang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dibutuhkan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. 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“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Sesuai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kebutuhan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aturan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membatasi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,”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tandasnya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</w:p>
    <w:p w:rsidR="00F2769F" w:rsidRPr="00A0423C" w:rsidRDefault="00F2769F" w:rsidP="00A0423C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16"/>
          <w:szCs w:val="16"/>
        </w:rPr>
      </w:pP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Gubernur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Longki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Djanggola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sendiri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pada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kesempatan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mengatakan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di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zaman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Gubernur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Azis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Lamadjido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Kepala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Dinas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hanya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3 kali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Jakarta. 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“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Semasa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saya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menjadi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kepala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Biro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Humas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hanya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dua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kali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perjalanan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Jakarta,”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ujar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Longki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</w:t>
      </w:r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depan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kata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Longki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,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dia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akan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kembali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memberlakukan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kebijakan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itu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untuk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menghemat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 xml:space="preserve"> 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anggaran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. (</w:t>
      </w:r>
      <w:proofErr w:type="gram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mdi-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mrs</w:t>
      </w:r>
      <w:proofErr w:type="spell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/</w:t>
      </w:r>
      <w:proofErr w:type="spellStart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aaa</w:t>
      </w:r>
      <w:proofErr w:type="spellEnd"/>
      <w:proofErr w:type="gramEnd"/>
      <w:r w:rsidRPr="00A0423C">
        <w:rPr>
          <w:rFonts w:ascii="Lato" w:eastAsia="Times New Roman" w:hAnsi="Lato" w:cs="Times New Roman"/>
          <w:color w:val="222222"/>
          <w:sz w:val="16"/>
          <w:szCs w:val="16"/>
        </w:rPr>
        <w:t>)</w:t>
      </w:r>
    </w:p>
    <w:p w:rsidR="0057448A" w:rsidRPr="00A0423C" w:rsidRDefault="0057448A" w:rsidP="007C6CF3">
      <w:pPr>
        <w:jc w:val="both"/>
        <w:rPr>
          <w:sz w:val="16"/>
          <w:szCs w:val="16"/>
        </w:rPr>
      </w:pPr>
    </w:p>
    <w:sectPr w:rsidR="0057448A" w:rsidRPr="00A0423C" w:rsidSect="00A0423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9F"/>
    <w:rsid w:val="00190527"/>
    <w:rsid w:val="0057448A"/>
    <w:rsid w:val="007C6CF3"/>
    <w:rsid w:val="00A0423C"/>
    <w:rsid w:val="00F2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9F"/>
  </w:style>
  <w:style w:type="paragraph" w:styleId="Heading1">
    <w:name w:val="heading 1"/>
    <w:basedOn w:val="Normal"/>
    <w:link w:val="Heading1Char"/>
    <w:uiPriority w:val="9"/>
    <w:qFormat/>
    <w:rsid w:val="00F27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6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7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F2769F"/>
  </w:style>
  <w:style w:type="paragraph" w:styleId="NormalWeb">
    <w:name w:val="Normal (Web)"/>
    <w:basedOn w:val="Normal"/>
    <w:uiPriority w:val="99"/>
    <w:semiHidden/>
    <w:unhideWhenUsed/>
    <w:rsid w:val="00F2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69F"/>
    <w:rPr>
      <w:color w:val="0000FF"/>
      <w:u w:val="single"/>
    </w:rPr>
  </w:style>
  <w:style w:type="character" w:customStyle="1" w:styleId="ctatext">
    <w:name w:val="ctatext"/>
    <w:basedOn w:val="DefaultParagraphFont"/>
    <w:rsid w:val="00F2769F"/>
  </w:style>
  <w:style w:type="character" w:customStyle="1" w:styleId="apple-converted-space">
    <w:name w:val="apple-converted-space"/>
    <w:basedOn w:val="DefaultParagraphFont"/>
    <w:rsid w:val="00F2769F"/>
  </w:style>
  <w:style w:type="character" w:customStyle="1" w:styleId="posttitle">
    <w:name w:val="posttitle"/>
    <w:basedOn w:val="DefaultParagraphFont"/>
    <w:rsid w:val="00F2769F"/>
  </w:style>
  <w:style w:type="character" w:customStyle="1" w:styleId="a2alabel">
    <w:name w:val="a2a_label"/>
    <w:basedOn w:val="DefaultParagraphFont"/>
    <w:rsid w:val="00F2769F"/>
  </w:style>
  <w:style w:type="character" w:customStyle="1" w:styleId="post-tags-header">
    <w:name w:val="post-tags-header"/>
    <w:basedOn w:val="DefaultParagraphFont"/>
    <w:rsid w:val="00F2769F"/>
  </w:style>
  <w:style w:type="character" w:customStyle="1" w:styleId="comment-but-text">
    <w:name w:val="comment-but-text"/>
    <w:basedOn w:val="DefaultParagraphFont"/>
    <w:rsid w:val="00F27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9F"/>
  </w:style>
  <w:style w:type="paragraph" w:styleId="Heading1">
    <w:name w:val="heading 1"/>
    <w:basedOn w:val="Normal"/>
    <w:link w:val="Heading1Char"/>
    <w:uiPriority w:val="9"/>
    <w:qFormat/>
    <w:rsid w:val="00F27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6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27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F2769F"/>
  </w:style>
  <w:style w:type="paragraph" w:styleId="NormalWeb">
    <w:name w:val="Normal (Web)"/>
    <w:basedOn w:val="Normal"/>
    <w:uiPriority w:val="99"/>
    <w:semiHidden/>
    <w:unhideWhenUsed/>
    <w:rsid w:val="00F2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69F"/>
    <w:rPr>
      <w:color w:val="0000FF"/>
      <w:u w:val="single"/>
    </w:rPr>
  </w:style>
  <w:style w:type="character" w:customStyle="1" w:styleId="ctatext">
    <w:name w:val="ctatext"/>
    <w:basedOn w:val="DefaultParagraphFont"/>
    <w:rsid w:val="00F2769F"/>
  </w:style>
  <w:style w:type="character" w:customStyle="1" w:styleId="apple-converted-space">
    <w:name w:val="apple-converted-space"/>
    <w:basedOn w:val="DefaultParagraphFont"/>
    <w:rsid w:val="00F2769F"/>
  </w:style>
  <w:style w:type="character" w:customStyle="1" w:styleId="posttitle">
    <w:name w:val="posttitle"/>
    <w:basedOn w:val="DefaultParagraphFont"/>
    <w:rsid w:val="00F2769F"/>
  </w:style>
  <w:style w:type="character" w:customStyle="1" w:styleId="a2alabel">
    <w:name w:val="a2a_label"/>
    <w:basedOn w:val="DefaultParagraphFont"/>
    <w:rsid w:val="00F2769F"/>
  </w:style>
  <w:style w:type="character" w:customStyle="1" w:styleId="post-tags-header">
    <w:name w:val="post-tags-header"/>
    <w:basedOn w:val="DefaultParagraphFont"/>
    <w:rsid w:val="00F2769F"/>
  </w:style>
  <w:style w:type="character" w:customStyle="1" w:styleId="comment-but-text">
    <w:name w:val="comment-but-text"/>
    <w:basedOn w:val="DefaultParagraphFont"/>
    <w:rsid w:val="00F2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1539">
          <w:marLeft w:val="0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6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54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77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84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819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2016-12-05T02:59:00Z</dcterms:created>
  <dcterms:modified xsi:type="dcterms:W3CDTF">2016-12-05T09:33:00Z</dcterms:modified>
</cp:coreProperties>
</file>